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0A74F53" w:rsidR="002203A1" w:rsidRDefault="002203A1" w:rsidP="00E651DC">
      <w:pPr>
        <w:pStyle w:val="a6"/>
        <w:spacing w:after="0" w:line="276" w:lineRule="auto"/>
        <w:ind w:left="0" w:firstLine="0"/>
        <w:jc w:val="right"/>
        <w:rPr>
          <w:i/>
        </w:rPr>
      </w:pPr>
      <w:r w:rsidRPr="002203A1">
        <w:rPr>
          <w:i/>
        </w:rPr>
        <w:t>Приложение №</w:t>
      </w:r>
      <w:r w:rsidR="00361007">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361007">
      <w:pPr>
        <w:pStyle w:val="a6"/>
        <w:spacing w:after="0" w:line="276" w:lineRule="auto"/>
        <w:ind w:left="-284" w:firstLine="0"/>
        <w:jc w:val="center"/>
        <w:rPr>
          <w:b/>
        </w:rPr>
      </w:pPr>
      <w:r w:rsidRPr="002203A1">
        <w:rPr>
          <w:b/>
        </w:rPr>
        <w:t>Критерии отбора и оценки заявок Участников закупки</w:t>
      </w:r>
    </w:p>
    <w:p w14:paraId="3260CF2F" w14:textId="77777777" w:rsidR="002203A1" w:rsidRDefault="002203A1" w:rsidP="00361007">
      <w:pPr>
        <w:pStyle w:val="a6"/>
        <w:spacing w:after="0" w:line="276" w:lineRule="auto"/>
        <w:ind w:left="-284" w:firstLine="0"/>
        <w:jc w:val="right"/>
      </w:pPr>
    </w:p>
    <w:p w14:paraId="3366A78A" w14:textId="77777777" w:rsidR="002203A1" w:rsidRDefault="002203A1" w:rsidP="00361007">
      <w:pPr>
        <w:pStyle w:val="a6"/>
        <w:numPr>
          <w:ilvl w:val="0"/>
          <w:numId w:val="1"/>
        </w:numPr>
        <w:spacing w:after="0" w:line="276" w:lineRule="auto"/>
        <w:ind w:left="-284" w:firstLine="0"/>
        <w:rPr>
          <w:b/>
        </w:rPr>
      </w:pPr>
      <w:r w:rsidRPr="002203A1">
        <w:rPr>
          <w:b/>
        </w:rPr>
        <w:t>Критерии отбора</w:t>
      </w:r>
    </w:p>
    <w:tbl>
      <w:tblPr>
        <w:tblW w:w="1091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5953"/>
      </w:tblGrid>
      <w:tr w:rsidR="002203A1" w14:paraId="3AA24AD5" w14:textId="77777777" w:rsidTr="00E651DC">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29BF5C77" w:rsidR="002203A1" w:rsidRPr="002203A1" w:rsidRDefault="00E651DC" w:rsidP="002203A1">
            <w:pPr>
              <w:jc w:val="center"/>
              <w:rPr>
                <w:szCs w:val="20"/>
              </w:rPr>
            </w:pPr>
            <w:r>
              <w:rPr>
                <w:szCs w:val="20"/>
              </w:rPr>
              <w:t>№</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9CE4F63"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79E1120F"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4A7EBF0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B72AFC7" w14:textId="77777777" w:rsidR="002203A1" w:rsidRPr="002203A1" w:rsidRDefault="002203A1" w:rsidP="002203A1">
            <w:pPr>
              <w:spacing w:before="120" w:after="120"/>
              <w:rPr>
                <w:rFonts w:cs="Tahoma"/>
                <w:szCs w:val="20"/>
                <w:lang w:val="en-US"/>
              </w:rPr>
            </w:pPr>
          </w:p>
        </w:tc>
      </w:tr>
      <w:tr w:rsidR="002203A1" w:rsidRPr="002203A1" w14:paraId="1A3DFE27"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E651D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EFC605D"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7AC890F5"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7B6DFAE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453FE336" w14:textId="77777777" w:rsidR="002203A1" w:rsidRPr="002203A1" w:rsidRDefault="002203A1" w:rsidP="002203A1">
            <w:pPr>
              <w:spacing w:before="120" w:after="120"/>
              <w:rPr>
                <w:rFonts w:cs="Tahoma"/>
                <w:szCs w:val="20"/>
                <w:lang w:val="en-US"/>
              </w:rPr>
            </w:pPr>
          </w:p>
        </w:tc>
      </w:tr>
      <w:tr w:rsidR="002203A1" w:rsidRPr="002203A1" w14:paraId="0FB4AD3D"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7309B024"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55B7458B" w14:textId="77777777" w:rsidR="002203A1" w:rsidRPr="00E651D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2F3D80F" w14:textId="77777777" w:rsidR="002203A1" w:rsidRPr="00E651D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FCD7ED2"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2166C551"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7EAC8B30" w14:textId="77777777" w:rsidR="002203A1" w:rsidRPr="00E651DC"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3C64BDAE" w14:textId="77777777" w:rsidR="002203A1" w:rsidRPr="00E651D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7E63DED"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09872A7D"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2175BBFA" w14:textId="77777777" w:rsidR="002203A1" w:rsidRPr="00E651D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3CB932FF" w14:textId="77777777" w:rsidR="002203A1" w:rsidRPr="00E651D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1F7D56D"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46E2660B"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76718FA1" w14:textId="77777777" w:rsidR="002203A1" w:rsidRPr="00E651D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7DA0194F" w14:textId="77777777" w:rsidR="002203A1" w:rsidRPr="00E651D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6483D16"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1BC37577"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347E18EC" w14:textId="77777777" w:rsidR="002203A1" w:rsidRPr="00E651D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648ED32C" w14:textId="77777777" w:rsidR="002203A1" w:rsidRPr="00E651D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724A68D"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2C5C69BB"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7051049F" w14:textId="77777777" w:rsidR="002203A1" w:rsidRPr="00E651DC"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6F2B31DC" w14:textId="77777777" w:rsidR="002203A1" w:rsidRPr="00E651D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79E2F7A"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04166324"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69E60F7A" w14:textId="77777777" w:rsidR="002203A1" w:rsidRPr="00E651DC"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39ECAC63" w14:textId="77777777" w:rsidR="002203A1" w:rsidRPr="00E651D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19F2CF6"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1A90292C"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27884C43" w14:textId="77777777" w:rsidR="002203A1" w:rsidRPr="00E651DC"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32E2608F" w14:textId="77777777" w:rsidR="002203A1" w:rsidRPr="00E651D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E01D13"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428C9922"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26DB76EF" w14:textId="77777777" w:rsidR="002203A1" w:rsidRPr="00E651DC"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Borders>
              <w:top w:val="single" w:sz="4" w:space="0" w:color="auto"/>
              <w:left w:val="single" w:sz="4" w:space="0" w:color="auto"/>
              <w:bottom w:val="single" w:sz="4" w:space="0" w:color="auto"/>
              <w:right w:val="single" w:sz="4" w:space="0" w:color="auto"/>
            </w:tcBorders>
          </w:tcPr>
          <w:p w14:paraId="4C6E7089" w14:textId="77777777" w:rsidR="002203A1" w:rsidRPr="00E651DC" w:rsidRDefault="002203A1" w:rsidP="002203A1">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48F92A83"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07C82B90"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253BD5A2" w14:textId="77777777" w:rsidR="002203A1" w:rsidRPr="00E651DC"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37F62AD" w14:textId="77777777" w:rsidR="002203A1" w:rsidRPr="00E651DC"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F92CE9A"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19E0CF1D"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6076581C" w14:textId="77777777" w:rsidR="002203A1" w:rsidRPr="00E651DC"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371F1C70" w14:textId="77777777" w:rsidR="002203A1" w:rsidRPr="00E651DC"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B4DD306"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7E0CC295"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4A91C9C3" w14:textId="77777777" w:rsidR="002203A1" w:rsidRPr="00E651DC"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55F60C97" w14:textId="77777777" w:rsidR="002203A1" w:rsidRPr="00E651D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F3EFE48"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17FA161" w14:textId="77777777" w:rsidR="002203A1" w:rsidRPr="002203A1" w:rsidRDefault="002203A1" w:rsidP="002203A1">
            <w:pPr>
              <w:rPr>
                <w:rFonts w:cs="Tahoma"/>
                <w:b/>
                <w:szCs w:val="20"/>
                <w:lang w:val="en-US"/>
              </w:rPr>
            </w:pPr>
            <w:r>
              <w:rPr>
                <w:rFonts w:cs="Tahoma"/>
                <w:b/>
                <w:szCs w:val="20"/>
              </w:rPr>
              <w:lastRenderedPageBreak/>
              <w:t>1.2</w:t>
            </w:r>
          </w:p>
        </w:tc>
        <w:tc>
          <w:tcPr>
            <w:tcW w:w="3970" w:type="dxa"/>
            <w:tcBorders>
              <w:top w:val="single" w:sz="4" w:space="0" w:color="auto"/>
              <w:left w:val="single" w:sz="4" w:space="0" w:color="auto"/>
              <w:bottom w:val="single" w:sz="4" w:space="0" w:color="auto"/>
              <w:right w:val="single" w:sz="4" w:space="0" w:color="auto"/>
            </w:tcBorders>
            <w:vAlign w:val="center"/>
          </w:tcPr>
          <w:p w14:paraId="285ED81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59939EC6" w14:textId="77777777" w:rsidR="002203A1" w:rsidRPr="002203A1" w:rsidRDefault="002203A1" w:rsidP="002203A1">
            <w:pPr>
              <w:spacing w:before="120" w:after="120"/>
              <w:rPr>
                <w:rFonts w:cs="Tahoma"/>
                <w:szCs w:val="20"/>
                <w:lang w:val="en-US"/>
              </w:rPr>
            </w:pPr>
          </w:p>
        </w:tc>
      </w:tr>
      <w:tr w:rsidR="002203A1" w:rsidRPr="002203A1" w14:paraId="1BDED9AD"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7EADB64B"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6937468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89A2089" w14:textId="77777777" w:rsidR="002203A1" w:rsidRPr="00E651DC"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FA9FB62"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4F517446"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02E684A4" w14:textId="77777777" w:rsidR="002203A1" w:rsidRPr="00E651DC"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607B2792" w14:textId="77777777" w:rsidR="002203A1" w:rsidRPr="00E651DC" w:rsidRDefault="002203A1" w:rsidP="002203A1">
            <w:pPr>
              <w:spacing w:before="120" w:after="120"/>
              <w:rPr>
                <w:rFonts w:cs="Tahoma"/>
                <w:szCs w:val="20"/>
              </w:rPr>
            </w:pPr>
          </w:p>
        </w:tc>
      </w:tr>
      <w:tr w:rsidR="002203A1" w:rsidRPr="002203A1" w14:paraId="4CFC23B1"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671DCC4B"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7D33567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358867A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D49BCE9"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7FF20A79"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0388C79C" w14:textId="77777777" w:rsidR="002203A1" w:rsidRPr="00E651D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315E64B2" w14:textId="77777777" w:rsidR="002203A1" w:rsidRPr="00E651DC"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EFD4A43"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60E0EB9E"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2FBBF659" w14:textId="77777777" w:rsidR="002203A1" w:rsidRPr="00E651D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58E68807" w14:textId="77777777" w:rsidR="002203A1" w:rsidRPr="00E651DC"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8623528"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7616BE62"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6192B1D5" w14:textId="77777777" w:rsidR="002203A1" w:rsidRPr="00E651D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53BD1883" w14:textId="77777777" w:rsidR="002203A1" w:rsidRPr="00E651DC"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864E6FE"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0A9DF1A9"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684CA7B9" w14:textId="77777777" w:rsidR="002203A1" w:rsidRPr="00E651D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5FCB6169" w14:textId="77777777" w:rsidR="002203A1" w:rsidRPr="00E651DC"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2C891F5"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71FE5CB0"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4636B18A" w14:textId="77777777" w:rsidR="002203A1" w:rsidRPr="00E651DC"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3B45E0A9" w14:textId="77777777" w:rsidR="002203A1" w:rsidRPr="00E651DC"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16A393A"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3942052"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44A8CC19" w14:textId="77777777" w:rsidR="002203A1" w:rsidRPr="00E651DC"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53" w:type="dxa"/>
            <w:tcBorders>
              <w:top w:val="single" w:sz="4" w:space="0" w:color="auto"/>
              <w:left w:val="single" w:sz="4" w:space="0" w:color="auto"/>
              <w:bottom w:val="single" w:sz="4" w:space="0" w:color="auto"/>
              <w:right w:val="single" w:sz="4" w:space="0" w:color="auto"/>
            </w:tcBorders>
            <w:vAlign w:val="center"/>
          </w:tcPr>
          <w:p w14:paraId="1AAAB18D" w14:textId="77777777" w:rsidR="002203A1" w:rsidRPr="00E651DC" w:rsidRDefault="002203A1" w:rsidP="002203A1">
            <w:pPr>
              <w:spacing w:before="120" w:after="120"/>
              <w:rPr>
                <w:rFonts w:cs="Tahoma"/>
                <w:szCs w:val="20"/>
              </w:rPr>
            </w:pPr>
          </w:p>
        </w:tc>
      </w:tr>
      <w:tr w:rsidR="002203A1" w:rsidRPr="002203A1" w14:paraId="14B117B5" w14:textId="77777777" w:rsidTr="00E651DC">
        <w:trPr>
          <w:trHeight w:val="210"/>
        </w:trPr>
        <w:tc>
          <w:tcPr>
            <w:tcW w:w="992" w:type="dxa"/>
            <w:tcBorders>
              <w:top w:val="single" w:sz="4" w:space="0" w:color="auto"/>
              <w:left w:val="single" w:sz="4" w:space="0" w:color="auto"/>
              <w:bottom w:val="single" w:sz="4" w:space="0" w:color="auto"/>
              <w:right w:val="single" w:sz="4" w:space="0" w:color="auto"/>
            </w:tcBorders>
          </w:tcPr>
          <w:p w14:paraId="03223918"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52F50B16" w14:textId="77777777" w:rsidR="002203A1" w:rsidRPr="00E651DC"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1DB71BC5" w14:textId="77777777" w:rsidR="002203A1" w:rsidRPr="00E651DC"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E651DC" w:rsidRDefault="002203A1">
      <w:pPr>
        <w:spacing w:after="160" w:line="259" w:lineRule="auto"/>
      </w:pPr>
      <w:r w:rsidRPr="00E651DC">
        <w:br w:type="page"/>
      </w:r>
    </w:p>
    <w:p w14:paraId="4344A346" w14:textId="6BF4E228" w:rsidR="00E651DC" w:rsidRDefault="002203A1" w:rsidP="00E651DC">
      <w:pPr>
        <w:pStyle w:val="a6"/>
        <w:numPr>
          <w:ilvl w:val="0"/>
          <w:numId w:val="1"/>
        </w:numPr>
        <w:spacing w:after="0" w:line="276" w:lineRule="auto"/>
        <w:jc w:val="left"/>
        <w:rPr>
          <w:b/>
        </w:rPr>
      </w:pPr>
      <w:r w:rsidRPr="002203A1">
        <w:rPr>
          <w:b/>
        </w:rPr>
        <w:lastRenderedPageBreak/>
        <w:t>Критерии о</w:t>
      </w:r>
      <w:r>
        <w:rPr>
          <w:b/>
        </w:rPr>
        <w:t>ценки</w:t>
      </w:r>
      <w:r w:rsidRPr="002203A1">
        <w:rPr>
          <w:b/>
        </w:rPr>
        <w:t xml:space="preserve"> </w:t>
      </w:r>
      <w:r>
        <w:rPr>
          <w:b/>
        </w:rPr>
        <w:t>и весовые коэффициенты</w:t>
      </w:r>
    </w:p>
    <w:p w14:paraId="6F514BB9" w14:textId="6D588DB0" w:rsidR="00361007" w:rsidRDefault="00361007" w:rsidP="002203A1">
      <w:pPr>
        <w:ind w:firstLine="708"/>
        <w:jc w:val="both"/>
        <w:rPr>
          <w:rFonts w:cs="Tahoma"/>
          <w:szCs w:val="20"/>
          <w:lang w:eastAsia="en-US"/>
        </w:rPr>
      </w:pPr>
    </w:p>
    <w:tbl>
      <w:tblPr>
        <w:tblW w:w="103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6976"/>
        <w:gridCol w:w="2551"/>
      </w:tblGrid>
      <w:tr w:rsidR="00361007" w:rsidRPr="00361007" w14:paraId="2F7A6736" w14:textId="77777777" w:rsidTr="00CB7FF4">
        <w:trPr>
          <w:trHeight w:val="1051"/>
        </w:trPr>
        <w:tc>
          <w:tcPr>
            <w:tcW w:w="850" w:type="dxa"/>
            <w:shd w:val="clear" w:color="auto" w:fill="auto"/>
            <w:vAlign w:val="center"/>
          </w:tcPr>
          <w:p w14:paraId="5BB95A03" w14:textId="77777777" w:rsidR="00361007" w:rsidRPr="00361007" w:rsidRDefault="00361007" w:rsidP="00361007">
            <w:pPr>
              <w:jc w:val="center"/>
              <w:rPr>
                <w:rFonts w:eastAsia="Calibri" w:cs="Tahoma"/>
                <w:szCs w:val="20"/>
                <w:lang w:eastAsia="en-US"/>
              </w:rPr>
            </w:pPr>
            <w:r w:rsidRPr="00361007">
              <w:rPr>
                <w:rFonts w:eastAsia="Calibri" w:cs="Tahoma"/>
                <w:szCs w:val="20"/>
                <w:lang w:eastAsia="en-US"/>
              </w:rPr>
              <w:t>№</w:t>
            </w:r>
          </w:p>
        </w:tc>
        <w:tc>
          <w:tcPr>
            <w:tcW w:w="6976" w:type="dxa"/>
            <w:shd w:val="clear" w:color="auto" w:fill="auto"/>
            <w:vAlign w:val="center"/>
          </w:tcPr>
          <w:p w14:paraId="70BF079E" w14:textId="77777777" w:rsidR="00361007" w:rsidRPr="00361007" w:rsidRDefault="00361007" w:rsidP="00361007">
            <w:pPr>
              <w:jc w:val="center"/>
              <w:rPr>
                <w:rFonts w:eastAsia="Calibri" w:cs="Tahoma"/>
                <w:szCs w:val="20"/>
                <w:lang w:eastAsia="en-US"/>
              </w:rPr>
            </w:pPr>
            <w:r w:rsidRPr="00361007">
              <w:rPr>
                <w:rFonts w:eastAsia="Calibri" w:cs="Tahoma"/>
                <w:szCs w:val="20"/>
                <w:lang w:eastAsia="en-US"/>
              </w:rPr>
              <w:t>Критерий</w:t>
            </w:r>
          </w:p>
        </w:tc>
        <w:tc>
          <w:tcPr>
            <w:tcW w:w="2551" w:type="dxa"/>
            <w:shd w:val="clear" w:color="auto" w:fill="auto"/>
            <w:vAlign w:val="center"/>
          </w:tcPr>
          <w:p w14:paraId="6B943321" w14:textId="77777777" w:rsidR="00361007" w:rsidRPr="00361007" w:rsidRDefault="00361007" w:rsidP="00361007">
            <w:pPr>
              <w:jc w:val="center"/>
              <w:rPr>
                <w:rFonts w:eastAsia="Calibri" w:cs="Tahoma"/>
                <w:szCs w:val="20"/>
                <w:highlight w:val="yellow"/>
                <w:lang w:eastAsia="en-US"/>
              </w:rPr>
            </w:pPr>
            <w:r w:rsidRPr="00361007">
              <w:rPr>
                <w:rFonts w:eastAsia="Calibri" w:cs="Tahoma"/>
                <w:szCs w:val="20"/>
                <w:lang w:eastAsia="en-US"/>
              </w:rPr>
              <w:t>Весовой коэффициент критерия</w:t>
            </w:r>
          </w:p>
        </w:tc>
      </w:tr>
      <w:tr w:rsidR="00361007" w:rsidRPr="00361007" w14:paraId="39CE4131" w14:textId="77777777" w:rsidTr="00CB7FF4">
        <w:trPr>
          <w:trHeight w:val="70"/>
        </w:trPr>
        <w:tc>
          <w:tcPr>
            <w:tcW w:w="850" w:type="dxa"/>
            <w:shd w:val="clear" w:color="auto" w:fill="auto"/>
          </w:tcPr>
          <w:p w14:paraId="05D63D97" w14:textId="41CB4CF0" w:rsidR="00361007" w:rsidRPr="00361007" w:rsidRDefault="00361007" w:rsidP="00361007">
            <w:pPr>
              <w:rPr>
                <w:rFonts w:eastAsia="Calibri" w:cs="Tahoma"/>
                <w:szCs w:val="20"/>
                <w:lang w:eastAsia="en-US"/>
              </w:rPr>
            </w:pPr>
            <w:r>
              <w:rPr>
                <w:rFonts w:eastAsia="Calibri" w:cs="Tahoma"/>
                <w:szCs w:val="20"/>
                <w:lang w:eastAsia="en-US"/>
              </w:rPr>
              <w:t>1.</w:t>
            </w:r>
          </w:p>
        </w:tc>
        <w:tc>
          <w:tcPr>
            <w:tcW w:w="6976" w:type="dxa"/>
            <w:shd w:val="clear" w:color="auto" w:fill="auto"/>
          </w:tcPr>
          <w:p w14:paraId="6E1B91F9" w14:textId="77777777" w:rsidR="00361007" w:rsidRDefault="00361007" w:rsidP="00361007">
            <w:pPr>
              <w:rPr>
                <w:rFonts w:eastAsia="Calibri" w:cs="Tahoma"/>
                <w:szCs w:val="20"/>
                <w:lang w:eastAsia="en-US"/>
              </w:rPr>
            </w:pPr>
            <w:r w:rsidRPr="00361007">
              <w:rPr>
                <w:rFonts w:eastAsia="Calibri" w:cs="Tahoma"/>
                <w:szCs w:val="20"/>
                <w:lang w:eastAsia="en-US"/>
              </w:rPr>
              <w:t>Стоимость предложения</w:t>
            </w:r>
          </w:p>
          <w:p w14:paraId="785E1AC8" w14:textId="4440341A" w:rsidR="00361007" w:rsidRPr="00361007" w:rsidRDefault="00361007" w:rsidP="00361007">
            <w:pPr>
              <w:rPr>
                <w:rFonts w:eastAsia="Calibri" w:cs="Tahoma"/>
                <w:szCs w:val="20"/>
                <w:lang w:eastAsia="en-US"/>
              </w:rPr>
            </w:pPr>
          </w:p>
        </w:tc>
        <w:tc>
          <w:tcPr>
            <w:tcW w:w="2551" w:type="dxa"/>
            <w:shd w:val="clear" w:color="auto" w:fill="auto"/>
          </w:tcPr>
          <w:p w14:paraId="4D365E58" w14:textId="566BE310" w:rsidR="00361007" w:rsidRPr="00361007" w:rsidRDefault="001255D9" w:rsidP="00361007">
            <w:pPr>
              <w:rPr>
                <w:rFonts w:eastAsia="Calibri" w:cs="Tahoma"/>
                <w:szCs w:val="20"/>
                <w:lang w:eastAsia="en-US"/>
              </w:rPr>
            </w:pPr>
            <w:r>
              <w:rPr>
                <w:rFonts w:eastAsia="Calibri" w:cs="Tahoma"/>
                <w:szCs w:val="20"/>
                <w:lang w:eastAsia="en-US"/>
              </w:rPr>
              <w:t>0,8</w:t>
            </w:r>
          </w:p>
        </w:tc>
      </w:tr>
      <w:tr w:rsidR="00361007" w:rsidRPr="00361007" w14:paraId="1208CD4E" w14:textId="77777777" w:rsidTr="00CB7FF4">
        <w:trPr>
          <w:trHeight w:val="336"/>
        </w:trPr>
        <w:tc>
          <w:tcPr>
            <w:tcW w:w="850" w:type="dxa"/>
            <w:shd w:val="clear" w:color="auto" w:fill="auto"/>
          </w:tcPr>
          <w:p w14:paraId="38A7CBDE" w14:textId="77777777" w:rsidR="00361007" w:rsidRPr="00361007" w:rsidRDefault="00361007" w:rsidP="00361007">
            <w:pPr>
              <w:rPr>
                <w:rFonts w:eastAsia="Calibri" w:cs="Tahoma"/>
                <w:szCs w:val="20"/>
                <w:lang w:eastAsia="en-US"/>
              </w:rPr>
            </w:pPr>
            <w:r w:rsidRPr="00361007">
              <w:rPr>
                <w:rFonts w:cs="Tahoma"/>
                <w:szCs w:val="20"/>
              </w:rPr>
              <w:t>2.</w:t>
            </w:r>
          </w:p>
        </w:tc>
        <w:tc>
          <w:tcPr>
            <w:tcW w:w="6976" w:type="dxa"/>
            <w:shd w:val="clear" w:color="auto" w:fill="auto"/>
          </w:tcPr>
          <w:p w14:paraId="1844E00A" w14:textId="35BFE9EE" w:rsidR="00361007" w:rsidRPr="00361007" w:rsidRDefault="00361007" w:rsidP="00361007">
            <w:pPr>
              <w:rPr>
                <w:rFonts w:eastAsia="Calibri" w:cs="Tahoma"/>
                <w:szCs w:val="20"/>
                <w:lang w:eastAsia="en-US"/>
              </w:rPr>
            </w:pPr>
            <w:r w:rsidRPr="00361007">
              <w:rPr>
                <w:rFonts w:cs="Tahoma"/>
                <w:szCs w:val="20"/>
              </w:rPr>
              <w:t>Наличие у Участника опыта оказания аналогичных</w:t>
            </w:r>
            <w:r w:rsidRPr="00361007">
              <w:rPr>
                <w:rFonts w:cs="Tahoma"/>
                <w:szCs w:val="20"/>
                <w:vertAlign w:val="superscript"/>
              </w:rPr>
              <w:footnoteReference w:id="1"/>
            </w:r>
            <w:r w:rsidRPr="00361007">
              <w:rPr>
                <w:rFonts w:cs="Tahoma"/>
                <w:szCs w:val="20"/>
              </w:rPr>
              <w:t xml:space="preserve"> услуг за последние 3 (три) года (</w:t>
            </w:r>
            <w:r w:rsidR="006C73F7" w:rsidRPr="006C73F7">
              <w:rPr>
                <w:rFonts w:cs="Tahoma"/>
                <w:szCs w:val="20"/>
              </w:rPr>
              <w:t xml:space="preserve">3 </w:t>
            </w:r>
            <w:proofErr w:type="spellStart"/>
            <w:r w:rsidR="006C73F7" w:rsidRPr="006C73F7">
              <w:rPr>
                <w:rFonts w:cs="Tahoma"/>
                <w:szCs w:val="20"/>
              </w:rPr>
              <w:t>кв</w:t>
            </w:r>
            <w:proofErr w:type="spellEnd"/>
            <w:r w:rsidR="006C73F7" w:rsidRPr="006C73F7">
              <w:rPr>
                <w:rFonts w:cs="Tahoma"/>
                <w:szCs w:val="20"/>
              </w:rPr>
              <w:t xml:space="preserve">-л 2021 - 2 </w:t>
            </w:r>
            <w:proofErr w:type="spellStart"/>
            <w:r w:rsidR="006C73F7" w:rsidRPr="006C73F7">
              <w:rPr>
                <w:rFonts w:cs="Tahoma"/>
                <w:szCs w:val="20"/>
              </w:rPr>
              <w:t>кв</w:t>
            </w:r>
            <w:proofErr w:type="spellEnd"/>
            <w:r w:rsidR="006C73F7" w:rsidRPr="006C73F7">
              <w:rPr>
                <w:rFonts w:cs="Tahoma"/>
                <w:szCs w:val="20"/>
              </w:rPr>
              <w:t>-л 2024</w:t>
            </w:r>
            <w:r w:rsidRPr="00361007">
              <w:rPr>
                <w:rFonts w:cs="Tahoma"/>
                <w:szCs w:val="20"/>
              </w:rPr>
              <w:t xml:space="preserve">) </w:t>
            </w:r>
          </w:p>
        </w:tc>
        <w:tc>
          <w:tcPr>
            <w:tcW w:w="2551" w:type="dxa"/>
            <w:shd w:val="clear" w:color="auto" w:fill="auto"/>
          </w:tcPr>
          <w:p w14:paraId="255391B0" w14:textId="15DA6F81" w:rsidR="00361007" w:rsidRPr="00361007" w:rsidRDefault="001255D9" w:rsidP="00361007">
            <w:pPr>
              <w:rPr>
                <w:rFonts w:eastAsia="Calibri" w:cs="Tahoma"/>
                <w:szCs w:val="20"/>
                <w:lang w:eastAsia="en-US"/>
              </w:rPr>
            </w:pPr>
            <w:r>
              <w:rPr>
                <w:rFonts w:eastAsia="Calibri" w:cs="Tahoma"/>
                <w:szCs w:val="20"/>
                <w:lang w:eastAsia="en-US"/>
              </w:rPr>
              <w:t>0,2</w:t>
            </w:r>
          </w:p>
        </w:tc>
      </w:tr>
    </w:tbl>
    <w:p w14:paraId="7940886D" w14:textId="3BBEC897" w:rsidR="00361007" w:rsidRDefault="00361007" w:rsidP="00361007">
      <w:pPr>
        <w:jc w:val="both"/>
        <w:rPr>
          <w:rFonts w:cs="Tahoma"/>
          <w:szCs w:val="20"/>
          <w:lang w:eastAsia="en-US"/>
        </w:rPr>
      </w:pPr>
    </w:p>
    <w:p w14:paraId="54EDB5D7" w14:textId="2B86D976"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2D68F1F1"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 xml:space="preserve">данного </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критериев.</w:t>
      </w:r>
    </w:p>
    <w:p w14:paraId="61F22E25" w14:textId="77777777" w:rsidR="002203A1" w:rsidRPr="002203A1" w:rsidRDefault="002203A1" w:rsidP="002203A1">
      <w:pPr>
        <w:jc w:val="both"/>
        <w:rPr>
          <w:rFonts w:cs="Tahoma"/>
          <w:b/>
          <w:sz w:val="12"/>
          <w:szCs w:val="12"/>
          <w:lang w:eastAsia="x-none"/>
        </w:rPr>
      </w:pPr>
    </w:p>
    <w:p w14:paraId="22E13F66" w14:textId="3403A717"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proofErr w:type="gramStart"/>
      <w:r w:rsidRPr="002203A1">
        <w:rPr>
          <w:rFonts w:cs="Tahoma"/>
          <w:szCs w:val="16"/>
          <w:lang w:eastAsia="en-US"/>
        </w:rPr>
        <w:t>).</w:t>
      </w:r>
      <w:r w:rsidRPr="002203A1">
        <w:rPr>
          <w:rFonts w:cs="Tahoma"/>
          <w:szCs w:val="20"/>
          <w:lang w:eastAsia="en-US"/>
        </w:rPr>
        <w:t>.</w:t>
      </w:r>
      <w:proofErr w:type="gramEnd"/>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w:t>
      </w:r>
      <w:proofErr w:type="gramStart"/>
      <w:r w:rsidRPr="002203A1">
        <w:rPr>
          <w:rFonts w:cs="Tahoma"/>
          <w:szCs w:val="20"/>
        </w:rPr>
        <w:t>счетный</w:t>
      </w:r>
      <w:proofErr w:type="gramEnd"/>
      <w:r w:rsidRPr="002203A1">
        <w:rPr>
          <w:rFonts w:cs="Tahoma"/>
          <w:szCs w:val="20"/>
        </w:rPr>
        <w:t xml:space="preserve">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rPr>
        <w:t>Платеж</w:t>
      </w:r>
      <w:r w:rsidRPr="002203A1">
        <w:rPr>
          <w:rFonts w:cs="Tahoma"/>
          <w:szCs w:val="20"/>
          <w:vertAlign w:val="subscript"/>
        </w:rPr>
        <w:t>i</w:t>
      </w:r>
      <w:proofErr w:type="spellEnd"/>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proofErr w:type="spellStart"/>
      <w:r w:rsidRPr="002203A1">
        <w:rPr>
          <w:rFonts w:cs="Tahoma"/>
          <w:snapToGrid w:val="0"/>
          <w:szCs w:val="20"/>
          <w:lang w:eastAsia="ja-JP"/>
        </w:rPr>
        <w:t>ni</w:t>
      </w:r>
      <w:proofErr w:type="spellEnd"/>
      <w:r w:rsidRPr="002203A1">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0B2DEB36"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F5D9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F5D9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F5D9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w:t>
      </w:r>
      <w:proofErr w:type="gramStart"/>
      <w:r w:rsidRPr="002203A1">
        <w:rPr>
          <w:rFonts w:cs="Tahoma"/>
        </w:rPr>
        <w:t>участник</w:t>
      </w:r>
      <w:proofErr w:type="gramEnd"/>
      <w:r w:rsidRPr="002203A1">
        <w:rPr>
          <w:rFonts w:cs="Tahoma"/>
        </w:rPr>
        <w:t xml:space="preserve">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EC3908A" w14:textId="7BA51F86" w:rsidR="00361007" w:rsidRPr="00361007" w:rsidRDefault="00361007" w:rsidP="00361007">
      <w:pPr>
        <w:ind w:firstLine="708"/>
        <w:jc w:val="both"/>
        <w:rPr>
          <w:rFonts w:cs="Tahoma"/>
          <w:b/>
          <w:snapToGrid w:val="0"/>
          <w:szCs w:val="20"/>
          <w:lang w:eastAsia="x-none"/>
        </w:rPr>
      </w:pPr>
      <w:r w:rsidRPr="00361007">
        <w:rPr>
          <w:rFonts w:cs="Tahoma"/>
          <w:b/>
          <w:snapToGrid w:val="0"/>
          <w:szCs w:val="20"/>
          <w:lang w:eastAsia="x-none"/>
        </w:rPr>
        <w:t>ПО КРИТЕРИЮ «</w:t>
      </w:r>
      <w:r w:rsidRPr="00361007">
        <w:rPr>
          <w:rFonts w:cs="Tahoma"/>
          <w:b/>
          <w:snapToGrid w:val="0"/>
          <w:szCs w:val="20"/>
          <w:lang w:val="x-none" w:eastAsia="x-none"/>
        </w:rPr>
        <w:t>Наличие у Участника опыта оказания аналогичных</w:t>
      </w:r>
      <w:r w:rsidRPr="00361007">
        <w:rPr>
          <w:rFonts w:cs="Tahoma"/>
          <w:b/>
          <w:snapToGrid w:val="0"/>
          <w:szCs w:val="20"/>
          <w:vertAlign w:val="superscript"/>
          <w:lang w:val="x-none" w:eastAsia="x-none"/>
        </w:rPr>
        <w:footnoteReference w:id="2"/>
      </w:r>
      <w:r w:rsidRPr="00361007">
        <w:rPr>
          <w:rFonts w:cs="Tahoma"/>
          <w:b/>
          <w:snapToGrid w:val="0"/>
          <w:szCs w:val="20"/>
          <w:lang w:val="x-none" w:eastAsia="x-none"/>
        </w:rPr>
        <w:t xml:space="preserve"> услуг</w:t>
      </w:r>
      <w:r w:rsidRPr="00361007">
        <w:rPr>
          <w:rFonts w:cs="Tahoma"/>
          <w:snapToGrid w:val="0"/>
          <w:szCs w:val="20"/>
          <w:lang w:val="x-none" w:eastAsia="en-US"/>
        </w:rPr>
        <w:t xml:space="preserve"> </w:t>
      </w:r>
      <w:r w:rsidRPr="00361007">
        <w:rPr>
          <w:rFonts w:cs="Tahoma"/>
          <w:b/>
          <w:snapToGrid w:val="0"/>
          <w:szCs w:val="20"/>
          <w:lang w:val="x-none" w:eastAsia="en-US"/>
        </w:rPr>
        <w:t>за последние 3 (три) года (</w:t>
      </w:r>
      <w:r w:rsidRPr="00361007">
        <w:rPr>
          <w:rFonts w:cs="Tahoma"/>
          <w:b/>
          <w:snapToGrid w:val="0"/>
          <w:szCs w:val="20"/>
          <w:lang w:eastAsia="en-US"/>
        </w:rPr>
        <w:t>3</w:t>
      </w:r>
      <w:r w:rsidRPr="00361007">
        <w:rPr>
          <w:rFonts w:cs="Tahoma"/>
          <w:b/>
          <w:snapToGrid w:val="0"/>
          <w:szCs w:val="20"/>
          <w:lang w:val="x-none" w:eastAsia="en-US"/>
        </w:rPr>
        <w:t xml:space="preserve"> </w:t>
      </w:r>
      <w:proofErr w:type="spellStart"/>
      <w:r w:rsidRPr="00361007">
        <w:rPr>
          <w:rFonts w:cs="Tahoma"/>
          <w:b/>
          <w:snapToGrid w:val="0"/>
          <w:szCs w:val="20"/>
          <w:lang w:val="x-none" w:eastAsia="en-US"/>
        </w:rPr>
        <w:t>кв</w:t>
      </w:r>
      <w:proofErr w:type="spellEnd"/>
      <w:r w:rsidRPr="00361007">
        <w:rPr>
          <w:rFonts w:cs="Tahoma"/>
          <w:b/>
          <w:snapToGrid w:val="0"/>
          <w:szCs w:val="20"/>
          <w:lang w:val="x-none" w:eastAsia="en-US"/>
        </w:rPr>
        <w:t>-л 20</w:t>
      </w:r>
      <w:r w:rsidRPr="00361007">
        <w:rPr>
          <w:rFonts w:cs="Tahoma"/>
          <w:b/>
          <w:snapToGrid w:val="0"/>
          <w:szCs w:val="20"/>
          <w:lang w:val="x-none" w:eastAsia="x-none"/>
        </w:rPr>
        <w:t>2</w:t>
      </w:r>
      <w:r w:rsidRPr="00361007">
        <w:rPr>
          <w:rFonts w:cs="Tahoma"/>
          <w:b/>
          <w:snapToGrid w:val="0"/>
          <w:szCs w:val="20"/>
          <w:lang w:eastAsia="x-none"/>
        </w:rPr>
        <w:t>1</w:t>
      </w:r>
      <w:r w:rsidRPr="00361007">
        <w:rPr>
          <w:rFonts w:cs="Tahoma"/>
          <w:b/>
          <w:snapToGrid w:val="0"/>
          <w:szCs w:val="20"/>
          <w:lang w:val="x-none" w:eastAsia="en-US"/>
        </w:rPr>
        <w:t xml:space="preserve"> - </w:t>
      </w:r>
      <w:r w:rsidRPr="00361007">
        <w:rPr>
          <w:rFonts w:cs="Tahoma"/>
          <w:b/>
          <w:snapToGrid w:val="0"/>
          <w:szCs w:val="20"/>
          <w:lang w:eastAsia="en-US"/>
        </w:rPr>
        <w:t>2</w:t>
      </w:r>
      <w:r w:rsidRPr="00361007">
        <w:rPr>
          <w:rFonts w:cs="Tahoma"/>
          <w:b/>
          <w:snapToGrid w:val="0"/>
          <w:szCs w:val="20"/>
          <w:lang w:val="x-none" w:eastAsia="en-US"/>
        </w:rPr>
        <w:t xml:space="preserve"> </w:t>
      </w:r>
      <w:proofErr w:type="spellStart"/>
      <w:r w:rsidRPr="00361007">
        <w:rPr>
          <w:rFonts w:cs="Tahoma"/>
          <w:b/>
          <w:snapToGrid w:val="0"/>
          <w:szCs w:val="20"/>
          <w:lang w:val="x-none" w:eastAsia="en-US"/>
        </w:rPr>
        <w:t>кв</w:t>
      </w:r>
      <w:proofErr w:type="spellEnd"/>
      <w:r w:rsidRPr="00361007">
        <w:rPr>
          <w:rFonts w:cs="Tahoma"/>
          <w:b/>
          <w:snapToGrid w:val="0"/>
          <w:szCs w:val="20"/>
          <w:lang w:val="x-none" w:eastAsia="en-US"/>
        </w:rPr>
        <w:t>-л 202</w:t>
      </w:r>
      <w:r w:rsidRPr="00361007">
        <w:rPr>
          <w:rFonts w:cs="Tahoma"/>
          <w:b/>
          <w:snapToGrid w:val="0"/>
          <w:szCs w:val="20"/>
          <w:lang w:eastAsia="en-US"/>
        </w:rPr>
        <w:t>4</w:t>
      </w:r>
      <w:r w:rsidRPr="00361007">
        <w:rPr>
          <w:rFonts w:cs="Tahoma"/>
          <w:b/>
          <w:snapToGrid w:val="0"/>
          <w:szCs w:val="20"/>
          <w:lang w:val="x-none" w:eastAsia="en-US"/>
        </w:rPr>
        <w:t>)</w:t>
      </w:r>
      <w:r w:rsidRPr="00361007">
        <w:rPr>
          <w:rFonts w:cs="Tahoma"/>
          <w:b/>
          <w:szCs w:val="20"/>
        </w:rPr>
        <w:t xml:space="preserve">» </w:t>
      </w:r>
      <w:r w:rsidRPr="00361007">
        <w:rPr>
          <w:rFonts w:cs="Tahoma"/>
          <w:b/>
          <w:snapToGrid w:val="0"/>
          <w:szCs w:val="20"/>
          <w:lang w:eastAsia="x-none"/>
        </w:rPr>
        <w:t>ОЦЕНКА ПРОИЗВОДИТСЯ В СООТВЕТСТВИИ СО СЛЕДУЮЩЕЙ МЕТОДИКОЙ:</w:t>
      </w:r>
    </w:p>
    <w:p w14:paraId="3F8CD713" w14:textId="77777777" w:rsidR="00361007" w:rsidRPr="00361007" w:rsidRDefault="00361007" w:rsidP="00361007">
      <w:pPr>
        <w:ind w:firstLine="567"/>
        <w:jc w:val="both"/>
        <w:rPr>
          <w:rFonts w:cs="Tahoma"/>
          <w:b/>
          <w:szCs w:val="20"/>
        </w:rPr>
      </w:pPr>
    </w:p>
    <w:p w14:paraId="1923BEAF" w14:textId="705A8266" w:rsidR="00361007" w:rsidRPr="00361007" w:rsidRDefault="00361007" w:rsidP="00361007">
      <w:pPr>
        <w:ind w:firstLine="567"/>
        <w:jc w:val="both"/>
        <w:rPr>
          <w:rFonts w:cs="Tahoma"/>
          <w:szCs w:val="20"/>
        </w:rPr>
      </w:pPr>
      <w:r w:rsidRPr="00361007">
        <w:rPr>
          <w:rFonts w:cs="Tahoma"/>
          <w:szCs w:val="20"/>
        </w:rPr>
        <w:t xml:space="preserve">Оценка производится на основании данных по сумме и количеству исполненных договоров (контрактов) за последние 3 (три) года </w:t>
      </w:r>
      <w:r w:rsidRPr="00361007">
        <w:rPr>
          <w:rFonts w:cs="Tahoma"/>
          <w:b/>
          <w:szCs w:val="20"/>
        </w:rPr>
        <w:t xml:space="preserve">(3 </w:t>
      </w:r>
      <w:proofErr w:type="spellStart"/>
      <w:r w:rsidRPr="00361007">
        <w:rPr>
          <w:rFonts w:cs="Tahoma"/>
          <w:b/>
          <w:szCs w:val="20"/>
        </w:rPr>
        <w:t>кв</w:t>
      </w:r>
      <w:proofErr w:type="spellEnd"/>
      <w:r w:rsidRPr="00361007">
        <w:rPr>
          <w:rFonts w:cs="Tahoma"/>
          <w:b/>
          <w:szCs w:val="20"/>
        </w:rPr>
        <w:t xml:space="preserve">-л 2021 - 2 </w:t>
      </w:r>
      <w:proofErr w:type="spellStart"/>
      <w:r w:rsidRPr="00361007">
        <w:rPr>
          <w:rFonts w:cs="Tahoma"/>
          <w:b/>
          <w:szCs w:val="20"/>
        </w:rPr>
        <w:t>кв</w:t>
      </w:r>
      <w:proofErr w:type="spellEnd"/>
      <w:r w:rsidRPr="00361007">
        <w:rPr>
          <w:rFonts w:cs="Tahoma"/>
          <w:b/>
          <w:szCs w:val="20"/>
        </w:rPr>
        <w:t xml:space="preserve">-л 2024) </w:t>
      </w:r>
      <w:r w:rsidRPr="00361007">
        <w:rPr>
          <w:rFonts w:cs="Tahoma"/>
          <w:szCs w:val="20"/>
        </w:rPr>
        <w:t xml:space="preserve">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w:t>
      </w:r>
      <w:r>
        <w:rPr>
          <w:rFonts w:cs="Tahoma"/>
          <w:szCs w:val="20"/>
        </w:rPr>
        <w:t>закупочной документации форме 15</w:t>
      </w:r>
      <w:r w:rsidRPr="00361007">
        <w:rPr>
          <w:rFonts w:cs="Tahoma"/>
          <w:szCs w:val="20"/>
        </w:rPr>
        <w:t>.</w:t>
      </w:r>
    </w:p>
    <w:p w14:paraId="0B56FDB1" w14:textId="77777777" w:rsidR="00361007" w:rsidRPr="00361007" w:rsidRDefault="00361007" w:rsidP="00361007">
      <w:pPr>
        <w:jc w:val="both"/>
        <w:rPr>
          <w:rFonts w:cs="Tahoma"/>
          <w:szCs w:val="20"/>
          <w:u w:val="single"/>
          <w:lang w:eastAsia="en-US"/>
        </w:rPr>
      </w:pPr>
      <w:r w:rsidRPr="00361007">
        <w:rPr>
          <w:rFonts w:cs="Tahoma"/>
          <w:szCs w:val="20"/>
          <w:u w:val="single"/>
          <w:lang w:eastAsia="en-US"/>
        </w:rPr>
        <w:t>Каждый, указанный в Справке договор (контракт), должен соответствовать одновременно всем следующим условиям:</w:t>
      </w:r>
    </w:p>
    <w:p w14:paraId="29B1212D" w14:textId="77777777" w:rsidR="00361007" w:rsidRDefault="00361007" w:rsidP="00361007">
      <w:pPr>
        <w:jc w:val="both"/>
        <w:rPr>
          <w:rFonts w:cs="Tahoma"/>
          <w:szCs w:val="20"/>
        </w:rPr>
      </w:pPr>
      <w:r w:rsidRPr="00361007">
        <w:rPr>
          <w:rFonts w:cs="Tahoma"/>
          <w:szCs w:val="20"/>
        </w:rPr>
        <w:t xml:space="preserve">1. Предметом договора (контракта) является </w:t>
      </w:r>
      <w:r w:rsidRPr="00361007">
        <w:rPr>
          <w:rFonts w:cs="Tahoma"/>
          <w:szCs w:val="20"/>
          <w:lang w:eastAsia="en-US"/>
        </w:rPr>
        <w:t xml:space="preserve">оказание услуг </w:t>
      </w:r>
      <w:r w:rsidRPr="00361007">
        <w:rPr>
          <w:rFonts w:cs="Tahoma"/>
          <w:bCs/>
          <w:szCs w:val="20"/>
        </w:rPr>
        <w:t>по</w:t>
      </w:r>
      <w:r w:rsidRPr="00361007">
        <w:rPr>
          <w:rFonts w:cs="Tahoma"/>
          <w:szCs w:val="20"/>
        </w:rPr>
        <w:t xml:space="preserve"> технической поддержке хранилища данных и базы данных </w:t>
      </w:r>
      <w:r w:rsidRPr="00361007">
        <w:rPr>
          <w:rFonts w:cs="Tahoma"/>
          <w:szCs w:val="20"/>
          <w:lang w:val="en-US"/>
        </w:rPr>
        <w:t>Oracle</w:t>
      </w:r>
      <w:r w:rsidRPr="00361007">
        <w:rPr>
          <w:rFonts w:cs="Tahoma"/>
          <w:szCs w:val="20"/>
        </w:rPr>
        <w:t xml:space="preserve">, </w:t>
      </w:r>
      <w:r w:rsidRPr="00361007">
        <w:rPr>
          <w:rFonts w:cs="Tahoma"/>
          <w:bCs/>
          <w:szCs w:val="20"/>
        </w:rPr>
        <w:t>по</w:t>
      </w:r>
      <w:r w:rsidRPr="00361007">
        <w:rPr>
          <w:rFonts w:cs="Tahoma"/>
          <w:szCs w:val="20"/>
        </w:rPr>
        <w:t xml:space="preserve"> </w:t>
      </w:r>
      <w:r w:rsidRPr="00361007">
        <w:rPr>
          <w:rFonts w:cs="Tahoma"/>
          <w:bCs/>
          <w:szCs w:val="20"/>
        </w:rPr>
        <w:t>технической поддержке</w:t>
      </w:r>
      <w:r w:rsidRPr="00361007">
        <w:rPr>
          <w:rFonts w:cs="Tahoma"/>
          <w:szCs w:val="20"/>
        </w:rPr>
        <w:t xml:space="preserve"> программного обеспечения </w:t>
      </w:r>
      <w:r w:rsidRPr="00361007">
        <w:rPr>
          <w:rFonts w:cs="Tahoma"/>
          <w:szCs w:val="20"/>
          <w:lang w:val="en-US"/>
        </w:rPr>
        <w:t>Oracle</w:t>
      </w:r>
      <w:r w:rsidRPr="00361007">
        <w:rPr>
          <w:rFonts w:cs="Tahoma"/>
          <w:szCs w:val="20"/>
        </w:rPr>
        <w:t xml:space="preserve">, </w:t>
      </w:r>
      <w:r w:rsidRPr="00361007">
        <w:rPr>
          <w:rFonts w:cs="Tahoma"/>
          <w:bCs/>
          <w:szCs w:val="20"/>
        </w:rPr>
        <w:t>по</w:t>
      </w:r>
      <w:r w:rsidRPr="00361007">
        <w:rPr>
          <w:rFonts w:cs="Tahoma"/>
          <w:szCs w:val="20"/>
        </w:rPr>
        <w:t xml:space="preserve"> функциональной и технической поддержке систем и обслуживание программно-аппаратных комплексов на базе программного обеспечения </w:t>
      </w:r>
      <w:r w:rsidRPr="00361007">
        <w:rPr>
          <w:rFonts w:cs="Tahoma"/>
          <w:szCs w:val="20"/>
          <w:lang w:val="en-US"/>
        </w:rPr>
        <w:t>Oracle</w:t>
      </w:r>
      <w:r w:rsidRPr="00361007">
        <w:rPr>
          <w:rFonts w:cs="Tahoma"/>
          <w:szCs w:val="20"/>
        </w:rPr>
        <w:t xml:space="preserve">, а также </w:t>
      </w:r>
      <w:r w:rsidRPr="00361007">
        <w:rPr>
          <w:rFonts w:cs="Tahoma"/>
          <w:bCs/>
          <w:szCs w:val="20"/>
        </w:rPr>
        <w:t>предоставления</w:t>
      </w:r>
      <w:r w:rsidRPr="00361007">
        <w:rPr>
          <w:rFonts w:cs="Tahoma"/>
          <w:szCs w:val="20"/>
        </w:rPr>
        <w:t xml:space="preserve"> доступа к технической поддержке программного обеспечения </w:t>
      </w:r>
      <w:r w:rsidRPr="00361007">
        <w:rPr>
          <w:rFonts w:cs="Tahoma"/>
          <w:szCs w:val="20"/>
          <w:lang w:val="en-US"/>
        </w:rPr>
        <w:t>Oracle</w:t>
      </w:r>
      <w:r w:rsidRPr="00361007">
        <w:rPr>
          <w:rFonts w:cs="Tahoma"/>
          <w:szCs w:val="20"/>
          <w:lang w:eastAsia="en-US"/>
        </w:rPr>
        <w:t xml:space="preserve">, </w:t>
      </w:r>
      <w:r w:rsidRPr="00361007">
        <w:rPr>
          <w:rFonts w:cs="Tahoma"/>
          <w:szCs w:val="20"/>
        </w:rPr>
        <w:t>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p>
    <w:p w14:paraId="234F3908" w14:textId="0B528FB8" w:rsidR="00361007" w:rsidRPr="00361007" w:rsidRDefault="00361007" w:rsidP="00361007">
      <w:pPr>
        <w:jc w:val="both"/>
        <w:rPr>
          <w:rFonts w:cs="Tahoma"/>
          <w:szCs w:val="20"/>
        </w:rPr>
      </w:pPr>
      <w:r w:rsidRPr="00361007">
        <w:rPr>
          <w:rFonts w:cs="Tahoma"/>
          <w:szCs w:val="20"/>
        </w:rPr>
        <w:t>2. Дополнительные соглашения о продлении сроков технической поддержки по договорам рассматриваются в качестве отдельных договоров.</w:t>
      </w:r>
    </w:p>
    <w:p w14:paraId="40CD9FA6" w14:textId="77777777" w:rsidR="00361007" w:rsidRPr="00361007" w:rsidRDefault="00361007" w:rsidP="00361007">
      <w:pPr>
        <w:jc w:val="both"/>
        <w:rPr>
          <w:rFonts w:cs="Tahoma"/>
          <w:b/>
          <w:szCs w:val="20"/>
          <w:lang w:eastAsia="en-US"/>
        </w:rPr>
      </w:pPr>
      <w:r w:rsidRPr="00361007">
        <w:rPr>
          <w:rFonts w:cs="Tahoma"/>
          <w:szCs w:val="20"/>
          <w:lang w:eastAsia="en-US"/>
        </w:rPr>
        <w:t xml:space="preserve">3. Цена каждого исполненного договора (контракта) должна быть </w:t>
      </w:r>
      <w:r w:rsidRPr="00361007">
        <w:rPr>
          <w:rFonts w:cs="Tahoma"/>
          <w:b/>
          <w:szCs w:val="20"/>
          <w:lang w:eastAsia="en-US"/>
        </w:rPr>
        <w:t>не менее 1 000 000 (Одного миллиона) рублей 00 копеек.</w:t>
      </w:r>
    </w:p>
    <w:p w14:paraId="2B726DB6" w14:textId="77777777" w:rsidR="00361007" w:rsidRPr="00361007" w:rsidRDefault="00361007" w:rsidP="00361007">
      <w:pPr>
        <w:rPr>
          <w:rFonts w:cs="Tahoma"/>
          <w:szCs w:val="20"/>
        </w:rPr>
      </w:pPr>
      <w:r w:rsidRPr="00361007">
        <w:rPr>
          <w:rFonts w:cs="Tahoma"/>
          <w:szCs w:val="20"/>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p>
    <w:p w14:paraId="5FE7A0C1" w14:textId="77777777" w:rsidR="00361007" w:rsidRPr="00361007" w:rsidRDefault="00361007" w:rsidP="00361007">
      <w:pPr>
        <w:jc w:val="both"/>
        <w:rPr>
          <w:rFonts w:cs="Tahoma"/>
          <w:b/>
          <w:szCs w:val="20"/>
          <w:lang w:eastAsia="en-US"/>
        </w:rPr>
      </w:pPr>
    </w:p>
    <w:p w14:paraId="540EEA72" w14:textId="77777777" w:rsidR="00361007" w:rsidRPr="00361007" w:rsidRDefault="00361007" w:rsidP="00361007">
      <w:pPr>
        <w:jc w:val="both"/>
        <w:rPr>
          <w:rFonts w:cs="Tahoma"/>
          <w:b/>
          <w:i/>
          <w:szCs w:val="20"/>
        </w:rPr>
      </w:pPr>
      <w:r w:rsidRPr="00361007">
        <w:rPr>
          <w:rFonts w:cs="Tahoma"/>
          <w:b/>
          <w:i/>
          <w:szCs w:val="20"/>
        </w:rPr>
        <w:t>! Договоры (контракты) несоответствующие указанным условиям, считаются непредставленными.</w:t>
      </w:r>
    </w:p>
    <w:p w14:paraId="5924C6BC" w14:textId="77777777" w:rsidR="00361007" w:rsidRDefault="00361007" w:rsidP="00361007">
      <w:pPr>
        <w:ind w:firstLine="567"/>
        <w:jc w:val="both"/>
        <w:rPr>
          <w:rFonts w:cs="Tahoma"/>
          <w:szCs w:val="20"/>
        </w:rPr>
      </w:pPr>
    </w:p>
    <w:p w14:paraId="5B450B8D" w14:textId="7E8BED8A" w:rsidR="00361007" w:rsidRPr="00361007" w:rsidRDefault="00361007" w:rsidP="00361007">
      <w:pPr>
        <w:ind w:firstLine="567"/>
        <w:jc w:val="both"/>
        <w:rPr>
          <w:rFonts w:cs="Tahoma"/>
          <w:szCs w:val="20"/>
        </w:rPr>
      </w:pPr>
      <w:r w:rsidRPr="00361007">
        <w:rPr>
          <w:rFonts w:cs="Tahoma"/>
          <w:szCs w:val="20"/>
        </w:rPr>
        <w:t>Представленные участником закупки контракты/договоры, исполнение которых не подтверждено документально, не учитываются при оценке.</w:t>
      </w:r>
    </w:p>
    <w:p w14:paraId="02D90EE5" w14:textId="77777777" w:rsidR="00361007" w:rsidRPr="00361007" w:rsidRDefault="00361007" w:rsidP="00361007">
      <w:pPr>
        <w:ind w:firstLine="567"/>
        <w:jc w:val="both"/>
        <w:rPr>
          <w:rFonts w:cs="Tahoma"/>
          <w:szCs w:val="20"/>
        </w:rPr>
      </w:pPr>
      <w:r w:rsidRPr="00361007">
        <w:rPr>
          <w:rFonts w:cs="Tahoma"/>
          <w:szCs w:val="20"/>
        </w:rPr>
        <w:lastRenderedPageBreak/>
        <w:t xml:space="preserve">Представленные документы должны быть в виде </w:t>
      </w:r>
      <w:proofErr w:type="spellStart"/>
      <w:r w:rsidRPr="00361007">
        <w:rPr>
          <w:rFonts w:cs="Tahoma"/>
          <w:szCs w:val="20"/>
        </w:rPr>
        <w:t>полночитаемых</w:t>
      </w:r>
      <w:proofErr w:type="spellEnd"/>
      <w:r w:rsidRPr="00361007">
        <w:rPr>
          <w:rFonts w:cs="Tahoma"/>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5C1D2588" w14:textId="77777777" w:rsidR="00361007" w:rsidRPr="00361007" w:rsidRDefault="00361007" w:rsidP="00361007">
      <w:pPr>
        <w:ind w:firstLine="567"/>
        <w:jc w:val="both"/>
        <w:rPr>
          <w:rFonts w:cs="Tahoma"/>
          <w:szCs w:val="20"/>
        </w:rPr>
      </w:pPr>
      <w:r w:rsidRPr="00361007">
        <w:rPr>
          <w:rFonts w:cs="Tahoma"/>
          <w:szCs w:val="20"/>
        </w:rPr>
        <w:t>Балльная оценка каждой заявки по критерию определяется по следующей формуле:</w:t>
      </w:r>
    </w:p>
    <w:p w14:paraId="6535B10B" w14:textId="77777777" w:rsidR="00361007" w:rsidRPr="00361007" w:rsidRDefault="00361007" w:rsidP="00361007">
      <w:pPr>
        <w:rPr>
          <w:rFonts w:cs="Tahoma"/>
          <w:szCs w:val="20"/>
        </w:rPr>
      </w:pPr>
    </w:p>
    <w:p w14:paraId="57D5CD49" w14:textId="77777777" w:rsidR="00361007" w:rsidRPr="00361007" w:rsidRDefault="006F5D93" w:rsidP="00361007">
      <w:pPr>
        <w:rPr>
          <w:rFonts w:cs="Tahoma"/>
          <w:szCs w:val="20"/>
        </w:rPr>
      </w:pPr>
      <m:oMathPara>
        <m:oMathParaPr>
          <m:jc m:val="left"/>
        </m:oMathParaPr>
        <m:oMath>
          <m:sSub>
            <m:sSubPr>
              <m:ctrlPr>
                <w:rPr>
                  <w:rFonts w:ascii="Cambria Math" w:hAnsi="Cambria Math" w:cs="Tahoma"/>
                  <w:szCs w:val="20"/>
                </w:rPr>
              </m:ctrlPr>
            </m:sSubPr>
            <m:e>
              <m:r>
                <w:rPr>
                  <w:rFonts w:ascii="Cambria Math" w:hAnsi="Cambria Math" w:cs="Tahoma"/>
                  <w:szCs w:val="20"/>
                </w:rPr>
                <m:t>R</m:t>
              </m:r>
              <m:r>
                <m:rPr>
                  <m:sty m:val="p"/>
                </m:rPr>
                <w:rPr>
                  <w:rFonts w:ascii="Cambria Math" w:hAnsi="Cambria Math" w:cs="Tahoma"/>
                  <w:szCs w:val="20"/>
                </w:rPr>
                <m:t>о</m:t>
              </m:r>
            </m:e>
            <m:sub>
              <m:r>
                <w:rPr>
                  <w:rFonts w:ascii="Cambria Math" w:hAnsi="Cambria Math" w:cs="Tahoma"/>
                  <w:szCs w:val="20"/>
                </w:rPr>
                <m:t>i</m:t>
              </m:r>
            </m:sub>
          </m:sSub>
          <m:r>
            <m:rPr>
              <m:sty m:val="p"/>
            </m:rPr>
            <w:rPr>
              <w:rFonts w:ascii="Cambria Math" w:hAnsi="Cambria Math" w:cs="Tahoma"/>
              <w:szCs w:val="20"/>
            </w:rPr>
            <m:t>=</m:t>
          </m:r>
          <m:f>
            <m:fPr>
              <m:ctrlPr>
                <w:rPr>
                  <w:rFonts w:ascii="Cambria Math" w:hAnsi="Cambria Math" w:cs="Tahoma"/>
                  <w:szCs w:val="20"/>
                </w:rPr>
              </m:ctrlPr>
            </m:fPr>
            <m:num>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i</m:t>
                  </m:r>
                </m:sub>
              </m:sSub>
            </m:num>
            <m:den>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max</m:t>
                  </m:r>
                </m:sub>
              </m:sSub>
            </m:den>
          </m:f>
          <m:r>
            <m:rPr>
              <m:sty m:val="p"/>
            </m:rPr>
            <w:rPr>
              <w:rFonts w:ascii="Cambria Math" w:hAnsi="Cambria Math" w:cs="Tahoma"/>
              <w:szCs w:val="20"/>
            </w:rPr>
            <m:t xml:space="preserve"> х 4</m:t>
          </m:r>
        </m:oMath>
      </m:oMathPara>
    </w:p>
    <w:p w14:paraId="40313EA3" w14:textId="77777777" w:rsidR="00361007" w:rsidRPr="00361007" w:rsidRDefault="00361007" w:rsidP="00361007">
      <w:pPr>
        <w:rPr>
          <w:rFonts w:cs="Tahoma"/>
          <w:szCs w:val="20"/>
        </w:rPr>
      </w:pPr>
    </w:p>
    <w:p w14:paraId="3C3CDA3E" w14:textId="77777777" w:rsidR="00361007" w:rsidRPr="00361007" w:rsidRDefault="006F5D93" w:rsidP="00361007">
      <w:pPr>
        <w:rPr>
          <w:rFonts w:cs="Tahoma"/>
          <w:szCs w:val="20"/>
        </w:rPr>
      </w:pPr>
      <m:oMath>
        <m:sSub>
          <m:sSubPr>
            <m:ctrlPr>
              <w:rPr>
                <w:rFonts w:ascii="Cambria Math" w:hAnsi="Cambria Math" w:cs="Tahoma"/>
                <w:szCs w:val="20"/>
              </w:rPr>
            </m:ctrlPr>
          </m:sSubPr>
          <m:e>
            <m:r>
              <w:rPr>
                <w:rFonts w:ascii="Cambria Math" w:hAnsi="Cambria Math" w:cs="Tahoma"/>
                <w:szCs w:val="20"/>
              </w:rPr>
              <m:t>R</m:t>
            </m:r>
            <m:r>
              <m:rPr>
                <m:sty m:val="p"/>
              </m:rPr>
              <w:rPr>
                <w:rFonts w:ascii="Cambria Math" w:hAnsi="Cambria Math" w:cs="Tahoma"/>
                <w:szCs w:val="20"/>
              </w:rPr>
              <m:t>о</m:t>
            </m:r>
          </m:e>
          <m:sub>
            <m:r>
              <w:rPr>
                <w:rFonts w:ascii="Cambria Math" w:hAnsi="Cambria Math" w:cs="Tahoma"/>
                <w:szCs w:val="20"/>
              </w:rPr>
              <m:t>i</m:t>
            </m:r>
          </m:sub>
        </m:sSub>
      </m:oMath>
      <w:r w:rsidR="00361007" w:rsidRPr="00361007">
        <w:rPr>
          <w:rFonts w:cs="Tahoma"/>
          <w:szCs w:val="20"/>
        </w:rPr>
        <w:t xml:space="preserve"> – баллы, присуждаемые i-му участнику;</w:t>
      </w:r>
    </w:p>
    <w:p w14:paraId="058D4D00" w14:textId="77777777" w:rsidR="00361007" w:rsidRPr="00361007" w:rsidRDefault="00361007" w:rsidP="00361007">
      <w:pPr>
        <w:jc w:val="both"/>
        <w:rPr>
          <w:rFonts w:cs="Tahoma"/>
          <w:szCs w:val="20"/>
          <w:shd w:val="clear" w:color="auto" w:fill="FFFFFF"/>
        </w:rPr>
      </w:pPr>
    </w:p>
    <w:p w14:paraId="18CFAFA0" w14:textId="77777777" w:rsidR="00361007" w:rsidRPr="00361007" w:rsidRDefault="006F5D93" w:rsidP="00361007">
      <w:pPr>
        <w:rPr>
          <w:rFonts w:cs="Tahoma"/>
          <w:szCs w:val="20"/>
        </w:rPr>
      </w:pPr>
      <m:oMath>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max</m:t>
            </m:r>
          </m:sub>
        </m:sSub>
      </m:oMath>
      <w:r w:rsidR="00361007" w:rsidRPr="00361007">
        <w:rPr>
          <w:rFonts w:cs="Tahoma"/>
          <w:szCs w:val="20"/>
        </w:rPr>
        <w:t xml:space="preserve"> – максимальное количество    исполненных договоров (контрактов) из предложений, сделанных участниками закупки по критерию оценки;</w:t>
      </w:r>
    </w:p>
    <w:p w14:paraId="7291508F" w14:textId="77777777" w:rsidR="00361007" w:rsidRPr="00361007" w:rsidRDefault="006F5D93" w:rsidP="00361007">
      <w:pPr>
        <w:rPr>
          <w:rFonts w:cs="Tahoma"/>
          <w:szCs w:val="20"/>
        </w:rPr>
      </w:pPr>
      <m:oMath>
        <m:sSub>
          <m:sSubPr>
            <m:ctrlPr>
              <w:rPr>
                <w:rFonts w:ascii="Cambria Math" w:hAnsi="Cambria Math" w:cs="Tahoma"/>
                <w:szCs w:val="20"/>
              </w:rPr>
            </m:ctrlPr>
          </m:sSubPr>
          <m:e>
            <m:r>
              <m:rPr>
                <m:sty m:val="p"/>
              </m:rPr>
              <w:rPr>
                <w:rFonts w:ascii="Cambria Math" w:hAnsi="Cambria Math" w:cs="Tahoma"/>
                <w:szCs w:val="20"/>
              </w:rPr>
              <m:t>Количество</m:t>
            </m:r>
          </m:e>
          <m:sub>
            <m:r>
              <m:rPr>
                <m:sty m:val="p"/>
              </m:rPr>
              <w:rPr>
                <w:rFonts w:ascii="Cambria Math" w:hAnsi="Cambria Math" w:cs="Tahoma"/>
                <w:szCs w:val="20"/>
              </w:rPr>
              <m:t>Д</m:t>
            </m:r>
            <m:r>
              <w:rPr>
                <w:rFonts w:ascii="Cambria Math" w:hAnsi="Cambria Math" w:cs="Tahoma"/>
                <w:szCs w:val="20"/>
              </w:rPr>
              <m:t>i</m:t>
            </m:r>
          </m:sub>
        </m:sSub>
      </m:oMath>
      <w:r w:rsidR="00361007" w:rsidRPr="00361007">
        <w:rPr>
          <w:rFonts w:cs="Tahoma"/>
          <w:szCs w:val="20"/>
        </w:rPr>
        <w:t xml:space="preserve">     – количество    исполненных договоров (контрактов) участника закупки, заявка (предложение) которого оценивается;</w:t>
      </w:r>
    </w:p>
    <w:p w14:paraId="4BCC6A12" w14:textId="77777777" w:rsidR="00361007" w:rsidRPr="00361007" w:rsidRDefault="00361007" w:rsidP="00361007">
      <w:pPr>
        <w:jc w:val="both"/>
        <w:rPr>
          <w:rFonts w:cs="Tahoma"/>
          <w:szCs w:val="20"/>
        </w:rPr>
      </w:pPr>
      <w:r w:rsidRPr="00361007">
        <w:rPr>
          <w:rFonts w:cs="Tahoma"/>
          <w:szCs w:val="20"/>
        </w:rPr>
        <w:t>i – участник закупки</w:t>
      </w:r>
    </w:p>
    <w:p w14:paraId="7C0E1292" w14:textId="77777777" w:rsidR="00361007" w:rsidRPr="00361007" w:rsidRDefault="00361007" w:rsidP="00361007">
      <w:pPr>
        <w:jc w:val="both"/>
        <w:rPr>
          <w:rFonts w:cs="Tahoma"/>
          <w:szCs w:val="20"/>
        </w:rPr>
      </w:pPr>
    </w:p>
    <w:p w14:paraId="4EA4DAA8" w14:textId="77777777" w:rsidR="00361007" w:rsidRDefault="00361007" w:rsidP="00361007">
      <w:pPr>
        <w:ind w:firstLine="708"/>
        <w:rPr>
          <w:rFonts w:cs="Tahoma"/>
          <w:szCs w:val="20"/>
        </w:rPr>
      </w:pPr>
      <w:r w:rsidRPr="00361007">
        <w:rPr>
          <w:rFonts w:cs="Tahoma"/>
          <w:szCs w:val="20"/>
        </w:rPr>
        <w:t>Значения баллов, полученные по данной формуле, округляются до четырех знаков после запятой.</w:t>
      </w:r>
    </w:p>
    <w:p w14:paraId="38CD62F7" w14:textId="77777777" w:rsidR="00361007" w:rsidRDefault="00361007" w:rsidP="00361007">
      <w:pPr>
        <w:ind w:firstLine="708"/>
        <w:rPr>
          <w:rFonts w:cs="Tahoma"/>
          <w:szCs w:val="20"/>
        </w:rPr>
      </w:pPr>
    </w:p>
    <w:p w14:paraId="636082BC" w14:textId="25654323" w:rsidR="00361007" w:rsidRPr="00361007" w:rsidRDefault="00361007" w:rsidP="00361007">
      <w:pPr>
        <w:ind w:firstLine="708"/>
        <w:rPr>
          <w:rFonts w:eastAsia="Calibri" w:cs="Tahoma"/>
          <w:b/>
          <w:bCs/>
          <w:szCs w:val="20"/>
          <w:lang w:eastAsia="en-US"/>
        </w:rPr>
      </w:pPr>
      <w:r w:rsidRPr="00361007">
        <w:rPr>
          <w:rFonts w:eastAsia="Calibri" w:cs="Tahoma"/>
          <w:b/>
          <w:bCs/>
          <w:szCs w:val="20"/>
          <w:lang w:eastAsia="en-US"/>
        </w:rPr>
        <w:t>Методика расчета интегральной оценки общей предпочтительности заявки.</w:t>
      </w:r>
    </w:p>
    <w:p w14:paraId="088448DE" w14:textId="77777777" w:rsidR="00361007" w:rsidRPr="00361007" w:rsidRDefault="00361007" w:rsidP="00361007">
      <w:pPr>
        <w:ind w:firstLine="709"/>
        <w:jc w:val="both"/>
        <w:rPr>
          <w:rFonts w:cs="Tahoma"/>
          <w:bCs/>
          <w:szCs w:val="20"/>
          <w:lang w:eastAsia="ar-SA"/>
        </w:rPr>
      </w:pPr>
      <w:r w:rsidRPr="00361007">
        <w:rPr>
          <w:rFonts w:cs="Tahoma"/>
          <w:bCs/>
          <w:szCs w:val="20"/>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55EC3148" w14:textId="316BBBCB" w:rsidR="00361007" w:rsidRPr="00361007" w:rsidRDefault="00361007" w:rsidP="00361007">
      <w:pPr>
        <w:ind w:firstLine="709"/>
        <w:jc w:val="both"/>
        <w:rPr>
          <w:rFonts w:eastAsia="Calibri" w:cs="Tahoma"/>
          <w:szCs w:val="20"/>
          <w:lang w:eastAsia="en-US"/>
        </w:rPr>
      </w:pPr>
      <w:r w:rsidRPr="00361007">
        <w:rPr>
          <w:rFonts w:eastAsia="Calibri" w:cs="Tahoma"/>
          <w:szCs w:val="20"/>
          <w:lang w:eastAsia="en-US"/>
        </w:rPr>
        <w:t>Бальная оценка по критерию определяется путем суммирования значений, полученных при произведении средней оценки и коэффициента весомости критерия</w:t>
      </w:r>
      <w:bookmarkStart w:id="0" w:name="_GoBack"/>
      <w:bookmarkEnd w:id="0"/>
      <w:r w:rsidRPr="00361007">
        <w:rPr>
          <w:rFonts w:eastAsia="Calibri" w:cs="Tahoma"/>
          <w:szCs w:val="20"/>
          <w:lang w:eastAsia="en-US"/>
        </w:rPr>
        <w:t>.</w:t>
      </w:r>
    </w:p>
    <w:p w14:paraId="612B7FAE" w14:textId="77777777" w:rsidR="00361007" w:rsidRPr="00361007" w:rsidRDefault="00361007" w:rsidP="00361007">
      <w:pPr>
        <w:ind w:firstLine="709"/>
        <w:jc w:val="both"/>
        <w:rPr>
          <w:rFonts w:cs="Tahoma"/>
          <w:bCs/>
          <w:szCs w:val="20"/>
          <w:lang w:eastAsia="ar-SA"/>
        </w:rPr>
      </w:pPr>
      <w:r w:rsidRPr="00361007">
        <w:rPr>
          <w:rFonts w:eastAsia="Calibri"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361007">
        <w:rPr>
          <w:rFonts w:cs="Tahoma"/>
          <w:bCs/>
          <w:szCs w:val="20"/>
          <w:lang w:eastAsia="ar-SA"/>
        </w:rPr>
        <w:t>:</w:t>
      </w:r>
    </w:p>
    <w:p w14:paraId="5CCE1EF6" w14:textId="77777777" w:rsidR="00361007" w:rsidRPr="00361007" w:rsidRDefault="00361007" w:rsidP="00361007">
      <w:pPr>
        <w:ind w:firstLine="709"/>
        <w:jc w:val="both"/>
        <w:rPr>
          <w:rFonts w:cs="Tahoma"/>
          <w:szCs w:val="20"/>
        </w:rPr>
      </w:pPr>
    </w:p>
    <w:p w14:paraId="6A869AA8" w14:textId="77777777" w:rsidR="00361007" w:rsidRPr="00361007" w:rsidRDefault="00361007" w:rsidP="00361007">
      <w:pPr>
        <w:ind w:firstLine="709"/>
        <w:jc w:val="both"/>
        <w:rPr>
          <w:rFonts w:cs="Tahoma"/>
          <w:szCs w:val="20"/>
          <w:lang w:val="en-US"/>
        </w:rPr>
      </w:pPr>
      <w:proofErr w:type="spellStart"/>
      <w:proofErr w:type="gramStart"/>
      <w:r w:rsidRPr="00361007">
        <w:rPr>
          <w:rFonts w:cs="Tahoma"/>
          <w:b/>
          <w:bCs/>
          <w:szCs w:val="20"/>
          <w:lang w:val="en-US"/>
        </w:rPr>
        <w:t>R</w:t>
      </w:r>
      <w:r w:rsidRPr="00361007">
        <w:rPr>
          <w:rFonts w:cs="Tahoma"/>
          <w:b/>
          <w:bCs/>
          <w:szCs w:val="20"/>
          <w:vertAlign w:val="subscript"/>
          <w:lang w:val="en-US"/>
        </w:rPr>
        <w:t>i</w:t>
      </w:r>
      <w:proofErr w:type="spellEnd"/>
      <w:proofErr w:type="gramEnd"/>
      <w:r w:rsidRPr="00361007">
        <w:rPr>
          <w:rFonts w:cs="Tahoma"/>
          <w:b/>
          <w:bCs/>
          <w:szCs w:val="20"/>
          <w:lang w:val="en-US"/>
        </w:rPr>
        <w:t xml:space="preserve"> </w:t>
      </w:r>
      <w:r w:rsidRPr="00361007">
        <w:rPr>
          <w:rFonts w:cs="Tahoma"/>
          <w:szCs w:val="20"/>
          <w:lang w:val="en-US"/>
        </w:rPr>
        <w:t xml:space="preserve">= </w:t>
      </w:r>
      <m:oMath>
        <m:sSub>
          <m:sSubPr>
            <m:ctrlPr>
              <w:rPr>
                <w:rFonts w:ascii="Cambria Math" w:hAnsi="Cambria Math" w:cs="Tahoma"/>
                <w:i/>
                <w:szCs w:val="20"/>
                <w:lang w:val="en-US"/>
              </w:rPr>
            </m:ctrlPr>
          </m:sSubPr>
          <m:e>
            <m:r>
              <w:rPr>
                <w:rFonts w:ascii="Cambria Math" w:hAnsi="Cambria Math" w:cs="Tahoma"/>
                <w:szCs w:val="20"/>
                <w:lang w:val="en-US"/>
              </w:rPr>
              <m:t>Ra</m:t>
            </m:r>
          </m:e>
          <m:sub>
            <m:r>
              <w:rPr>
                <w:rFonts w:ascii="Cambria Math" w:hAnsi="Cambria Math" w:cs="Tahoma"/>
                <w:szCs w:val="20"/>
                <w:lang w:val="en-US"/>
              </w:rPr>
              <m:t>i</m:t>
            </m:r>
          </m:sub>
        </m:sSub>
      </m:oMath>
      <w:r w:rsidRPr="00361007">
        <w:rPr>
          <w:rFonts w:cs="Tahoma"/>
          <w:szCs w:val="20"/>
          <w:vertAlign w:val="subscript"/>
          <w:lang w:val="en-US"/>
        </w:rPr>
        <w:t>*</w:t>
      </w:r>
      <w:r w:rsidRPr="00361007">
        <w:rPr>
          <w:rFonts w:cs="Tahoma"/>
          <w:szCs w:val="20"/>
          <w:lang w:val="en-US"/>
        </w:rPr>
        <w:t xml:space="preserve"> V1 + </w:t>
      </w:r>
      <w:proofErr w:type="spellStart"/>
      <w:r w:rsidRPr="00361007">
        <w:rPr>
          <w:rFonts w:cs="Tahoma"/>
          <w:szCs w:val="20"/>
          <w:lang w:val="en-US" w:eastAsia="en-US"/>
        </w:rPr>
        <w:t>R</w:t>
      </w:r>
      <w:r w:rsidRPr="00361007">
        <w:rPr>
          <w:rFonts w:cs="Tahoma"/>
          <w:i/>
          <w:iCs/>
          <w:szCs w:val="20"/>
          <w:vertAlign w:val="subscript"/>
          <w:lang w:val="en-US" w:eastAsia="en-US"/>
        </w:rPr>
        <w:t>oi</w:t>
      </w:r>
      <w:proofErr w:type="spellEnd"/>
      <w:r w:rsidRPr="00361007">
        <w:rPr>
          <w:rFonts w:cs="Tahoma"/>
          <w:szCs w:val="20"/>
          <w:lang w:val="en-US"/>
        </w:rPr>
        <w:t xml:space="preserve"> * V2</w:t>
      </w:r>
    </w:p>
    <w:p w14:paraId="48E81053" w14:textId="77777777" w:rsidR="00361007" w:rsidRPr="00361007" w:rsidRDefault="00361007" w:rsidP="00361007">
      <w:pPr>
        <w:ind w:firstLine="709"/>
        <w:jc w:val="both"/>
        <w:rPr>
          <w:rFonts w:cs="Tahoma"/>
          <w:szCs w:val="20"/>
        </w:rPr>
      </w:pPr>
      <w:r w:rsidRPr="00361007">
        <w:rPr>
          <w:rFonts w:cs="Tahoma"/>
          <w:szCs w:val="20"/>
        </w:rPr>
        <w:t>где:</w:t>
      </w:r>
    </w:p>
    <w:p w14:paraId="09C70C35" w14:textId="77777777" w:rsidR="00361007" w:rsidRPr="00361007" w:rsidRDefault="00361007" w:rsidP="00361007">
      <w:pPr>
        <w:ind w:firstLine="709"/>
        <w:jc w:val="both"/>
        <w:rPr>
          <w:rFonts w:cs="Tahoma"/>
          <w:szCs w:val="20"/>
        </w:rPr>
      </w:pPr>
      <w:proofErr w:type="spellStart"/>
      <w:r w:rsidRPr="00361007">
        <w:rPr>
          <w:rFonts w:cs="Tahoma"/>
          <w:b/>
          <w:bCs/>
          <w:szCs w:val="20"/>
        </w:rPr>
        <w:t>Ri</w:t>
      </w:r>
      <w:proofErr w:type="spellEnd"/>
      <w:r w:rsidRPr="00361007">
        <w:rPr>
          <w:rFonts w:cs="Tahoma"/>
          <w:b/>
          <w:bCs/>
          <w:szCs w:val="20"/>
        </w:rPr>
        <w:t xml:space="preserve">  </w:t>
      </w:r>
      <w:r w:rsidRPr="00361007">
        <w:rPr>
          <w:rFonts w:cs="Tahoma"/>
          <w:szCs w:val="20"/>
        </w:rPr>
        <w:t>  - общий рейтинг предпочтительности i-й заявки;</w:t>
      </w:r>
    </w:p>
    <w:p w14:paraId="342C0EBE" w14:textId="77777777" w:rsidR="00361007" w:rsidRPr="00361007" w:rsidRDefault="006F5D93" w:rsidP="00361007">
      <w:pPr>
        <w:ind w:firstLine="709"/>
        <w:jc w:val="both"/>
        <w:rPr>
          <w:rFonts w:cs="Tahoma"/>
          <w:szCs w:val="20"/>
        </w:rPr>
      </w:pPr>
      <m:oMath>
        <m:sSub>
          <m:sSubPr>
            <m:ctrlPr>
              <w:rPr>
                <w:rFonts w:ascii="Cambria Math" w:hAnsi="Cambria Math" w:cs="Tahoma"/>
                <w:i/>
                <w:szCs w:val="20"/>
                <w:lang w:val="en-US"/>
              </w:rPr>
            </m:ctrlPr>
          </m:sSubPr>
          <m:e>
            <m:r>
              <w:rPr>
                <w:rFonts w:ascii="Cambria Math" w:hAnsi="Cambria Math" w:cs="Tahoma"/>
                <w:szCs w:val="20"/>
                <w:lang w:val="en-US"/>
              </w:rPr>
              <m:t>Ra</m:t>
            </m:r>
          </m:e>
          <m:sub>
            <m:r>
              <w:rPr>
                <w:rFonts w:ascii="Cambria Math" w:hAnsi="Cambria Math" w:cs="Tahoma"/>
                <w:szCs w:val="20"/>
                <w:lang w:val="en-US"/>
              </w:rPr>
              <m:t>i</m:t>
            </m:r>
          </m:sub>
        </m:sSub>
      </m:oMath>
      <w:r w:rsidR="00361007" w:rsidRPr="00361007">
        <w:rPr>
          <w:rFonts w:cs="Tahoma"/>
          <w:szCs w:val="20"/>
          <w:lang w:val="en-US"/>
        </w:rPr>
        <w:t> </w:t>
      </w:r>
      <w:r w:rsidR="00361007" w:rsidRPr="00361007">
        <w:rPr>
          <w:rFonts w:cs="Tahoma"/>
          <w:szCs w:val="20"/>
        </w:rPr>
        <w:t>- балльная оценка по критерию «</w:t>
      </w:r>
      <w:r w:rsidR="00361007" w:rsidRPr="00361007">
        <w:rPr>
          <w:rFonts w:cs="Tahoma"/>
          <w:szCs w:val="20"/>
          <w:lang w:eastAsia="en-US"/>
        </w:rPr>
        <w:t>Стоимость предложения</w:t>
      </w:r>
      <w:r w:rsidR="00361007" w:rsidRPr="00361007">
        <w:rPr>
          <w:rFonts w:cs="Tahoma"/>
          <w:szCs w:val="20"/>
        </w:rPr>
        <w:t>»;</w:t>
      </w:r>
    </w:p>
    <w:p w14:paraId="193E5F6D" w14:textId="77777777" w:rsidR="00361007" w:rsidRPr="00361007" w:rsidRDefault="00361007" w:rsidP="00361007">
      <w:pPr>
        <w:ind w:firstLine="709"/>
        <w:jc w:val="both"/>
        <w:rPr>
          <w:rFonts w:cs="Tahoma"/>
          <w:szCs w:val="20"/>
        </w:rPr>
      </w:pPr>
      <w:proofErr w:type="spellStart"/>
      <w:r w:rsidRPr="00361007">
        <w:rPr>
          <w:rFonts w:cs="Tahoma"/>
          <w:szCs w:val="20"/>
          <w:lang w:val="en-US" w:eastAsia="en-US"/>
        </w:rPr>
        <w:t>R</w:t>
      </w:r>
      <w:r w:rsidRPr="00361007">
        <w:rPr>
          <w:rFonts w:cs="Tahoma"/>
          <w:i/>
          <w:iCs/>
          <w:szCs w:val="20"/>
          <w:vertAlign w:val="subscript"/>
          <w:lang w:val="en-US" w:eastAsia="en-US"/>
        </w:rPr>
        <w:t>oi</w:t>
      </w:r>
      <w:proofErr w:type="spellEnd"/>
      <w:r w:rsidRPr="00361007">
        <w:rPr>
          <w:rFonts w:cs="Tahoma"/>
          <w:i/>
          <w:iCs/>
          <w:szCs w:val="20"/>
          <w:vertAlign w:val="subscript"/>
          <w:lang w:eastAsia="en-US"/>
        </w:rPr>
        <w:t xml:space="preserve"> </w:t>
      </w:r>
      <w:r w:rsidRPr="00361007">
        <w:rPr>
          <w:rFonts w:cs="Tahoma"/>
          <w:szCs w:val="20"/>
        </w:rPr>
        <w:t>- балльная оценка по критерию «Наличие у Участника опыта оказания аналогичных</w:t>
      </w:r>
      <w:r w:rsidRPr="00361007">
        <w:rPr>
          <w:rFonts w:cs="Tahoma"/>
          <w:szCs w:val="20"/>
          <w:vertAlign w:val="superscript"/>
        </w:rPr>
        <w:footnoteReference w:id="3"/>
      </w:r>
      <w:r w:rsidRPr="00361007">
        <w:rPr>
          <w:rFonts w:cs="Tahoma"/>
          <w:szCs w:val="20"/>
        </w:rPr>
        <w:t xml:space="preserve">  услуг»;</w:t>
      </w:r>
    </w:p>
    <w:p w14:paraId="08DF8841" w14:textId="77777777" w:rsidR="00361007" w:rsidRPr="00361007" w:rsidRDefault="00361007" w:rsidP="00361007">
      <w:pPr>
        <w:ind w:firstLine="709"/>
        <w:jc w:val="both"/>
        <w:rPr>
          <w:rFonts w:cs="Tahoma"/>
          <w:szCs w:val="20"/>
        </w:rPr>
      </w:pPr>
      <w:r w:rsidRPr="00361007">
        <w:rPr>
          <w:rFonts w:cs="Tahoma"/>
          <w:szCs w:val="20"/>
        </w:rPr>
        <w:t>V1 - весовой коэффициент критерия «</w:t>
      </w:r>
      <w:r w:rsidRPr="00361007">
        <w:rPr>
          <w:rFonts w:cs="Tahoma"/>
          <w:szCs w:val="20"/>
          <w:lang w:eastAsia="en-US"/>
        </w:rPr>
        <w:t>Стоимость предложения</w:t>
      </w:r>
      <w:r w:rsidRPr="00361007">
        <w:rPr>
          <w:rFonts w:cs="Tahoma"/>
          <w:szCs w:val="20"/>
        </w:rPr>
        <w:t>»;</w:t>
      </w:r>
    </w:p>
    <w:p w14:paraId="027AED2D" w14:textId="77777777" w:rsidR="00361007" w:rsidRPr="00361007" w:rsidRDefault="00361007" w:rsidP="00361007">
      <w:pPr>
        <w:ind w:firstLine="709"/>
        <w:jc w:val="both"/>
        <w:rPr>
          <w:rFonts w:cs="Tahoma"/>
          <w:szCs w:val="20"/>
        </w:rPr>
      </w:pPr>
      <w:r w:rsidRPr="00361007">
        <w:rPr>
          <w:rFonts w:cs="Tahoma"/>
          <w:szCs w:val="20"/>
        </w:rPr>
        <w:t>V2 - весовой коэффициент критерия «Наличие у Участника опыта оказания аналогичных</w:t>
      </w:r>
      <w:r w:rsidRPr="00361007">
        <w:rPr>
          <w:rFonts w:cs="Tahoma"/>
          <w:szCs w:val="20"/>
          <w:vertAlign w:val="superscript"/>
        </w:rPr>
        <w:footnoteReference w:id="4"/>
      </w:r>
      <w:r w:rsidRPr="00361007">
        <w:rPr>
          <w:rFonts w:cs="Tahoma"/>
          <w:szCs w:val="20"/>
        </w:rPr>
        <w:t xml:space="preserve">  услуг»</w:t>
      </w:r>
    </w:p>
    <w:p w14:paraId="54D30463" w14:textId="1A950EAB" w:rsidR="002203A1" w:rsidRPr="00361007" w:rsidRDefault="002203A1" w:rsidP="00361007">
      <w:pPr>
        <w:shd w:val="clear" w:color="auto" w:fill="FFFFFF"/>
        <w:ind w:left="780" w:right="159"/>
        <w:contextualSpacing/>
        <w:rPr>
          <w:rFonts w:cs="Tahoma"/>
        </w:rPr>
      </w:pPr>
    </w:p>
    <w:sectPr w:rsidR="002203A1" w:rsidRPr="00361007"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357D4" w14:textId="77777777" w:rsidR="006F5D93" w:rsidRDefault="006F5D93" w:rsidP="00A2008E">
      <w:r>
        <w:separator/>
      </w:r>
    </w:p>
  </w:endnote>
  <w:endnote w:type="continuationSeparator" w:id="0">
    <w:p w14:paraId="74123A48" w14:textId="77777777" w:rsidR="006F5D93" w:rsidRDefault="006F5D9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177D9D" w14:textId="77777777" w:rsidR="006F5D93" w:rsidRDefault="006F5D93" w:rsidP="00A2008E">
      <w:r>
        <w:separator/>
      </w:r>
    </w:p>
  </w:footnote>
  <w:footnote w:type="continuationSeparator" w:id="0">
    <w:p w14:paraId="148B3426" w14:textId="77777777" w:rsidR="006F5D93" w:rsidRDefault="006F5D93" w:rsidP="00A2008E">
      <w:r>
        <w:continuationSeparator/>
      </w:r>
    </w:p>
  </w:footnote>
  <w:footnote w:id="1">
    <w:p w14:paraId="76B8DDEF" w14:textId="4E436AD6" w:rsidR="00361007" w:rsidRPr="00796406" w:rsidRDefault="00361007" w:rsidP="00361007">
      <w:pPr>
        <w:pStyle w:val="aa"/>
        <w:jc w:val="both"/>
      </w:pPr>
      <w:r>
        <w:rPr>
          <w:rStyle w:val="ac"/>
        </w:rPr>
        <w:footnoteRef/>
      </w:r>
      <w:r>
        <w:t xml:space="preserve"> </w:t>
      </w:r>
      <w:r w:rsidR="003340CA" w:rsidRPr="003340CA">
        <w:rPr>
          <w:rFonts w:cs="Tahoma"/>
          <w:i/>
        </w:rPr>
        <w:t>Под аналогичными услугами понимается опыт выполнения договоров по оказанию услуг по технической поддержке хранилища данных и базы данных Oracle, по технической поддержке программного обеспечения Oracle, по функциональной и технической поддержке систем и обслуживание программно-аппаратных комплексов на базе программного обеспечения Oracle, а также предоставления доступа к технической поддержке программного обеспечения Oracle</w:t>
      </w:r>
    </w:p>
  </w:footnote>
  <w:footnote w:id="2">
    <w:p w14:paraId="5C419E0F" w14:textId="77777777" w:rsidR="00361007" w:rsidRPr="00AD73B6" w:rsidRDefault="00361007" w:rsidP="00361007">
      <w:pPr>
        <w:pStyle w:val="aa"/>
        <w:jc w:val="both"/>
      </w:pPr>
      <w:r>
        <w:rPr>
          <w:rStyle w:val="ac"/>
        </w:rPr>
        <w:footnoteRef/>
      </w:r>
      <w:r>
        <w:t xml:space="preserve"> </w:t>
      </w:r>
      <w:r w:rsidRPr="00BD5D4A">
        <w:rPr>
          <w:rFonts w:cs="Tahoma"/>
          <w:i/>
        </w:rPr>
        <w:t xml:space="preserve">Под аналогичными услугами понимается опыт выполнения договоров по </w:t>
      </w:r>
      <w:r w:rsidRPr="00BD5D4A">
        <w:rPr>
          <w:i/>
          <w:szCs w:val="24"/>
          <w:lang w:eastAsia="en-US"/>
        </w:rPr>
        <w:t xml:space="preserve">оказанию услуг </w:t>
      </w:r>
      <w:r w:rsidRPr="00BD5D4A">
        <w:rPr>
          <w:bCs/>
          <w:i/>
        </w:rPr>
        <w:t>по</w:t>
      </w:r>
      <w:r w:rsidRPr="00BD5D4A">
        <w:rPr>
          <w:i/>
        </w:rPr>
        <w:t xml:space="preserve"> технической поддержке хранилища данных и базы данных </w:t>
      </w:r>
      <w:r w:rsidRPr="00BD5D4A">
        <w:rPr>
          <w:i/>
          <w:lang w:val="en-US"/>
        </w:rPr>
        <w:t>Oracle</w:t>
      </w:r>
      <w:r w:rsidRPr="00BD5D4A">
        <w:rPr>
          <w:i/>
        </w:rPr>
        <w:t xml:space="preserve">, </w:t>
      </w:r>
      <w:r w:rsidRPr="00BD5D4A">
        <w:rPr>
          <w:bCs/>
          <w:i/>
        </w:rPr>
        <w:t>по</w:t>
      </w:r>
      <w:r w:rsidRPr="00BD5D4A">
        <w:rPr>
          <w:i/>
        </w:rPr>
        <w:t xml:space="preserve"> </w:t>
      </w:r>
      <w:r w:rsidRPr="00BD5D4A">
        <w:rPr>
          <w:bCs/>
          <w:i/>
        </w:rPr>
        <w:t>технической поддержке</w:t>
      </w:r>
      <w:r w:rsidRPr="00BD5D4A">
        <w:rPr>
          <w:i/>
        </w:rPr>
        <w:t xml:space="preserve"> программного обеспечения </w:t>
      </w:r>
      <w:r w:rsidRPr="00BD5D4A">
        <w:rPr>
          <w:i/>
          <w:lang w:val="en-US"/>
        </w:rPr>
        <w:t>Oracle</w:t>
      </w:r>
      <w:r w:rsidRPr="00BD5D4A">
        <w:rPr>
          <w:i/>
        </w:rPr>
        <w:t xml:space="preserve">, </w:t>
      </w:r>
      <w:r w:rsidRPr="00BD5D4A">
        <w:rPr>
          <w:bCs/>
          <w:i/>
        </w:rPr>
        <w:t>по</w:t>
      </w:r>
      <w:r w:rsidRPr="00BD5D4A">
        <w:rPr>
          <w:i/>
        </w:rPr>
        <w:t xml:space="preserve"> функциональной и технической поддержке систем и обслуживание программно-аппаратных комплексов на базе программного обеспечения </w:t>
      </w:r>
      <w:r w:rsidRPr="00BD5D4A">
        <w:rPr>
          <w:i/>
          <w:lang w:val="en-US"/>
        </w:rPr>
        <w:t>Oracle</w:t>
      </w:r>
      <w:r w:rsidRPr="00BD5D4A">
        <w:rPr>
          <w:i/>
        </w:rPr>
        <w:t xml:space="preserve">, а также </w:t>
      </w:r>
      <w:r w:rsidRPr="00BD5D4A">
        <w:rPr>
          <w:bCs/>
          <w:i/>
        </w:rPr>
        <w:t>предоставления</w:t>
      </w:r>
      <w:r w:rsidRPr="00BD5D4A">
        <w:rPr>
          <w:i/>
        </w:rPr>
        <w:t xml:space="preserve"> доступа к технической поддержке программного обеспечения </w:t>
      </w:r>
      <w:r w:rsidRPr="00BD5D4A">
        <w:rPr>
          <w:i/>
          <w:lang w:val="en-US"/>
        </w:rPr>
        <w:t>Oracle</w:t>
      </w:r>
    </w:p>
  </w:footnote>
  <w:footnote w:id="3">
    <w:p w14:paraId="40E9765E" w14:textId="7670C6F5" w:rsidR="00361007" w:rsidRPr="007F1CAC" w:rsidRDefault="00361007" w:rsidP="00361007">
      <w:pPr>
        <w:pStyle w:val="aa"/>
      </w:pPr>
      <w:r>
        <w:rPr>
          <w:rStyle w:val="ac"/>
        </w:rPr>
        <w:footnoteRef/>
      </w:r>
      <w:r>
        <w:t xml:space="preserve"> </w:t>
      </w:r>
      <w:r w:rsidR="003340CA" w:rsidRPr="003340CA">
        <w:rPr>
          <w:rFonts w:cs="Tahoma"/>
          <w:i/>
        </w:rPr>
        <w:t>Под аналогичными услугами понимается опыт выполнения договоров по оказанию услуг по технической поддержке хранилища данных и базы данных Oracle, по технической поддержке программного обеспечения Oracle, по функциональной и технической поддержке систем и обслуживание программно-аппаратных комплексов на базе программного обеспечения Oracle, а также предоставления доступа к технической поддержке программного обеспечения Oracle</w:t>
      </w:r>
    </w:p>
  </w:footnote>
  <w:footnote w:id="4">
    <w:p w14:paraId="576ED5A2" w14:textId="72E8D86E" w:rsidR="00361007" w:rsidRPr="007F1CAC" w:rsidRDefault="00361007" w:rsidP="00361007">
      <w:pPr>
        <w:pStyle w:val="aa"/>
      </w:pPr>
      <w:r w:rsidRPr="007F1CAC">
        <w:rPr>
          <w:rStyle w:val="ac"/>
        </w:rPr>
        <w:footnoteRef/>
      </w:r>
      <w:r w:rsidRPr="007F1CAC">
        <w:t xml:space="preserve"> </w:t>
      </w:r>
      <w:r w:rsidR="003340CA" w:rsidRPr="003340CA">
        <w:rPr>
          <w:rFonts w:cs="Tahoma"/>
          <w:i/>
        </w:rPr>
        <w:t>Под аналогичными услугами понимается опыт выполнения договоров по оказанию услуг по технической поддержке хранилища данных и базы данных Oracle, по технической поддержке программного обеспечения Oracle, по функциональной и технической поддержке систем и обслуживание программно-аппаратных комплексов на базе программного обеспечения Oracle, а также предоставления доступа к технической поддержке программного обеспечения Oracle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52F712DA"/>
    <w:multiLevelType w:val="hybridMultilevel"/>
    <w:tmpl w:val="D43EF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5D9"/>
    <w:rsid w:val="001256B1"/>
    <w:rsid w:val="001C7D8C"/>
    <w:rsid w:val="002203A1"/>
    <w:rsid w:val="0023369E"/>
    <w:rsid w:val="002353EF"/>
    <w:rsid w:val="0024543F"/>
    <w:rsid w:val="002809D3"/>
    <w:rsid w:val="00285A2B"/>
    <w:rsid w:val="002A5BA0"/>
    <w:rsid w:val="002B0DBA"/>
    <w:rsid w:val="002B160F"/>
    <w:rsid w:val="002F3F18"/>
    <w:rsid w:val="00315EB1"/>
    <w:rsid w:val="00324E0C"/>
    <w:rsid w:val="003340CA"/>
    <w:rsid w:val="00361007"/>
    <w:rsid w:val="0036688F"/>
    <w:rsid w:val="00373F8F"/>
    <w:rsid w:val="00384570"/>
    <w:rsid w:val="00402E88"/>
    <w:rsid w:val="00483E2C"/>
    <w:rsid w:val="00520251"/>
    <w:rsid w:val="005A36E1"/>
    <w:rsid w:val="005F311C"/>
    <w:rsid w:val="00605DFA"/>
    <w:rsid w:val="00606379"/>
    <w:rsid w:val="00640198"/>
    <w:rsid w:val="00656FDB"/>
    <w:rsid w:val="0069657E"/>
    <w:rsid w:val="006B0ED8"/>
    <w:rsid w:val="006C1839"/>
    <w:rsid w:val="006C73F7"/>
    <w:rsid w:val="006D1C0C"/>
    <w:rsid w:val="006F5D93"/>
    <w:rsid w:val="0073683B"/>
    <w:rsid w:val="00747CD9"/>
    <w:rsid w:val="00762BD2"/>
    <w:rsid w:val="00782E4F"/>
    <w:rsid w:val="007C4DDD"/>
    <w:rsid w:val="00814313"/>
    <w:rsid w:val="008201E4"/>
    <w:rsid w:val="0085377F"/>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95C3D"/>
    <w:rsid w:val="00CB187D"/>
    <w:rsid w:val="00CB23D8"/>
    <w:rsid w:val="00CB74EF"/>
    <w:rsid w:val="00D135F0"/>
    <w:rsid w:val="00D50935"/>
    <w:rsid w:val="00D87ACB"/>
    <w:rsid w:val="00DB6AE3"/>
    <w:rsid w:val="00DC0C85"/>
    <w:rsid w:val="00DC789E"/>
    <w:rsid w:val="00DF454D"/>
    <w:rsid w:val="00E651DC"/>
    <w:rsid w:val="00E70FFB"/>
    <w:rsid w:val="00E77D6A"/>
    <w:rsid w:val="00EC0CDE"/>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Pages>
  <Words>2388</Words>
  <Characters>13612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33</cp:revision>
  <dcterms:created xsi:type="dcterms:W3CDTF">2019-09-02T03:16:00Z</dcterms:created>
  <dcterms:modified xsi:type="dcterms:W3CDTF">2024-09-12T05:08:00Z</dcterms:modified>
</cp:coreProperties>
</file>